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05.08.2026 № 05-07/1656</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12.08.2026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4E5B80">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 для патологоанатомического отделения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95 календарных дней с момента подписания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95 календарных дней с момента подписания Контракта. Возможна досрочная поставка партиями</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6 месяцев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00" w:type="pct"/>
        <w:tblLook w:val="04A0" w:firstRow="1" w:lastRow="0" w:firstColumn="1" w:lastColumn="0" w:noHBand="0" w:noVBand="1"/>
      </w:tblPr>
      <w:tblGrid>
        <w:gridCol w:w="359"/>
        <w:gridCol w:w="1773"/>
        <w:gridCol w:w="658"/>
        <w:gridCol w:w="1145"/>
        <w:gridCol w:w="903"/>
        <w:gridCol w:w="1333"/>
        <w:gridCol w:w="1449"/>
        <w:gridCol w:w="1813"/>
        <w:gridCol w:w="903"/>
        <w:gridCol w:w="1315"/>
        <w:gridCol w:w="1180"/>
        <w:gridCol w:w="1222"/>
        <w:gridCol w:w="693"/>
        <w:gridCol w:w="545"/>
        <w:gridCol w:w="658"/>
      </w:tblGrid>
      <w:tr w:rsidR="007237FC" w:rsidRPr="007237FC" w:rsidTr="007237FC">
        <w:trPr>
          <w:trHeight w:val="402"/>
        </w:trPr>
        <w:tc>
          <w:tcPr>
            <w:tcW w:w="10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w:t>
            </w:r>
          </w:p>
        </w:tc>
        <w:tc>
          <w:tcPr>
            <w:tcW w:w="55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Наименование товара</w:t>
            </w:r>
          </w:p>
        </w:tc>
        <w:tc>
          <w:tcPr>
            <w:tcW w:w="20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Кол-во товара</w:t>
            </w:r>
          </w:p>
        </w:tc>
        <w:tc>
          <w:tcPr>
            <w:tcW w:w="35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ОКПД2/КТРУ</w:t>
            </w:r>
          </w:p>
        </w:tc>
        <w:tc>
          <w:tcPr>
            <w:tcW w:w="28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Единица измерения</w:t>
            </w:r>
          </w:p>
        </w:tc>
        <w:tc>
          <w:tcPr>
            <w:tcW w:w="41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Тип характеристики</w:t>
            </w:r>
          </w:p>
        </w:tc>
        <w:tc>
          <w:tcPr>
            <w:tcW w:w="45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Функциональные, технические, качественные, эксплуатационные характеристики товара (единицы измерения</w:t>
            </w:r>
            <w:r w:rsidRPr="007237FC">
              <w:rPr>
                <w:rFonts w:ascii="Times New Roman" w:eastAsia="Times New Roman" w:hAnsi="Times New Roman" w:cs="Times New Roman"/>
                <w:b/>
                <w:bCs/>
                <w:strike/>
                <w:color w:val="000000"/>
                <w:sz w:val="16"/>
                <w:szCs w:val="16"/>
                <w:lang w:eastAsia="ru-RU"/>
              </w:rPr>
              <w:t>)</w:t>
            </w:r>
          </w:p>
        </w:tc>
        <w:tc>
          <w:tcPr>
            <w:tcW w:w="57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Значения характеристик товара</w:t>
            </w:r>
          </w:p>
        </w:tc>
        <w:tc>
          <w:tcPr>
            <w:tcW w:w="280"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Единица измерения значения</w:t>
            </w:r>
          </w:p>
        </w:tc>
        <w:tc>
          <w:tcPr>
            <w:tcW w:w="41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Обоснование дополнительных характеристик</w:t>
            </w:r>
          </w:p>
        </w:tc>
        <w:tc>
          <w:tcPr>
            <w:tcW w:w="371"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 xml:space="preserve">Инструкция заказчика </w:t>
            </w:r>
          </w:p>
        </w:tc>
        <w:tc>
          <w:tcPr>
            <w:tcW w:w="38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Страна происхождения товара</w:t>
            </w:r>
          </w:p>
        </w:tc>
        <w:tc>
          <w:tcPr>
            <w:tcW w:w="24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Став</w:t>
            </w:r>
            <w:r w:rsidRPr="007237FC">
              <w:rPr>
                <w:rFonts w:ascii="Times New Roman" w:eastAsia="Times New Roman" w:hAnsi="Times New Roman" w:cs="Times New Roman"/>
                <w:b/>
                <w:bCs/>
                <w:color w:val="000000"/>
                <w:sz w:val="16"/>
                <w:szCs w:val="16"/>
                <w:lang w:eastAsia="ru-RU"/>
              </w:rPr>
              <w:t>ка НДС%</w:t>
            </w:r>
          </w:p>
        </w:tc>
        <w:tc>
          <w:tcPr>
            <w:tcW w:w="16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Цена за ед. без НДС</w:t>
            </w:r>
          </w:p>
        </w:tc>
        <w:tc>
          <w:tcPr>
            <w:tcW w:w="20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Сумма без НДС</w:t>
            </w:r>
          </w:p>
        </w:tc>
      </w:tr>
      <w:tr w:rsidR="007237FC" w:rsidRPr="007237FC" w:rsidTr="007237FC">
        <w:trPr>
          <w:trHeight w:val="402"/>
        </w:trPr>
        <w:tc>
          <w:tcPr>
            <w:tcW w:w="107"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557"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202"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357"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280"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417"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454"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570"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280"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412"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371" w:type="pct"/>
            <w:vMerge/>
            <w:tcBorders>
              <w:top w:val="single" w:sz="8" w:space="0" w:color="auto"/>
              <w:left w:val="single" w:sz="8" w:space="0" w:color="auto"/>
              <w:bottom w:val="single" w:sz="8" w:space="0" w:color="000000"/>
              <w:right w:val="single" w:sz="4"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382" w:type="pct"/>
            <w:vMerge/>
            <w:tcBorders>
              <w:top w:val="single" w:sz="4" w:space="0" w:color="auto"/>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240" w:type="pct"/>
            <w:vMerge/>
            <w:tcBorders>
              <w:top w:val="single" w:sz="4" w:space="0" w:color="auto"/>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166" w:type="pct"/>
            <w:vMerge/>
            <w:tcBorders>
              <w:top w:val="single" w:sz="4" w:space="0" w:color="auto"/>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202" w:type="pct"/>
            <w:vMerge/>
            <w:tcBorders>
              <w:top w:val="single" w:sz="4" w:space="0" w:color="auto"/>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r>
      <w:tr w:rsidR="007237FC" w:rsidRPr="007237FC" w:rsidTr="007237FC">
        <w:trPr>
          <w:trHeight w:val="402"/>
        </w:trPr>
        <w:tc>
          <w:tcPr>
            <w:tcW w:w="107"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557"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202"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357"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280"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417"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454"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570"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280"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412" w:type="pct"/>
            <w:vMerge/>
            <w:tcBorders>
              <w:top w:val="single" w:sz="8" w:space="0" w:color="auto"/>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371" w:type="pct"/>
            <w:vMerge/>
            <w:tcBorders>
              <w:top w:val="single" w:sz="8" w:space="0" w:color="auto"/>
              <w:left w:val="single" w:sz="8" w:space="0" w:color="auto"/>
              <w:bottom w:val="single" w:sz="8" w:space="0" w:color="000000"/>
              <w:right w:val="single" w:sz="4"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382" w:type="pct"/>
            <w:vMerge/>
            <w:tcBorders>
              <w:top w:val="single" w:sz="4" w:space="0" w:color="auto"/>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240" w:type="pct"/>
            <w:vMerge/>
            <w:tcBorders>
              <w:top w:val="single" w:sz="4" w:space="0" w:color="auto"/>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166" w:type="pct"/>
            <w:vMerge/>
            <w:tcBorders>
              <w:top w:val="single" w:sz="4" w:space="0" w:color="auto"/>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c>
          <w:tcPr>
            <w:tcW w:w="202" w:type="pct"/>
            <w:vMerge/>
            <w:tcBorders>
              <w:top w:val="single" w:sz="4" w:space="0" w:color="auto"/>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b/>
                <w:bCs/>
                <w:color w:val="000000"/>
                <w:sz w:val="16"/>
                <w:szCs w:val="16"/>
                <w:lang w:eastAsia="ru-RU"/>
              </w:rPr>
            </w:pPr>
          </w:p>
        </w:tc>
      </w:tr>
      <w:tr w:rsidR="007237FC" w:rsidRPr="007237FC" w:rsidTr="007237FC">
        <w:trPr>
          <w:trHeight w:val="402"/>
        </w:trPr>
        <w:tc>
          <w:tcPr>
            <w:tcW w:w="107"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1</w:t>
            </w:r>
          </w:p>
        </w:tc>
        <w:tc>
          <w:tcPr>
            <w:tcW w:w="557"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CD30 антиген ИВД, антитела</w:t>
            </w:r>
          </w:p>
        </w:tc>
        <w:tc>
          <w:tcPr>
            <w:tcW w:w="202"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1</w:t>
            </w:r>
          </w:p>
        </w:tc>
        <w:tc>
          <w:tcPr>
            <w:tcW w:w="357"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21.20.23.110</w:t>
            </w:r>
          </w:p>
        </w:tc>
        <w:tc>
          <w:tcPr>
            <w:tcW w:w="280"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Упаковка</w:t>
            </w: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Характеристики в соответствии с КТРУ:</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8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c>
          <w:tcPr>
            <w:tcW w:w="16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c>
          <w:tcPr>
            <w:tcW w:w="20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Дополнительные характеристики:</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Назначение</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Для качественного иммуногистохимического определения белка CD30 в срезах тканей человека, фиксированных в формалине и залитых в парафин. Для диагностики in vitro.</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Реактивность: человек</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Локализация на уровне клеток: клеточная мембрана и цитоплазма</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Состав</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Первичные моноклональные мышиные антитела к IgG человека CD30, бычий сывороточный альбумин, консервант Proclin 950</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Форма выпуска: концентрированные</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Рекомендуемые разведения: 1:100 - 1:250</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Обусловлено требованиями инструкции к реагенту. </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Количественная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Фасовка: пластиковый флакон</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 0.2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Мл</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Совместимость: применимо как для ручного, так и для автоматического окрашивания.</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Обусловлено требованиями инструкции к реагенту. </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2</w:t>
            </w:r>
          </w:p>
        </w:tc>
        <w:tc>
          <w:tcPr>
            <w:tcW w:w="557"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Pax-5 антиген ИВД, антитела</w:t>
            </w:r>
          </w:p>
        </w:tc>
        <w:tc>
          <w:tcPr>
            <w:tcW w:w="202"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1</w:t>
            </w:r>
          </w:p>
        </w:tc>
        <w:tc>
          <w:tcPr>
            <w:tcW w:w="357"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21.20.23.110</w:t>
            </w:r>
          </w:p>
        </w:tc>
        <w:tc>
          <w:tcPr>
            <w:tcW w:w="280"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Штука</w:t>
            </w: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Характеристики в соответствии с КТРУ:</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8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c>
          <w:tcPr>
            <w:tcW w:w="16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c>
          <w:tcPr>
            <w:tcW w:w="20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Дополнительные характеристики:</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Назначение</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Для качественного иммуногистохимического определения белка Pax-5 в срезах тканей человека, фиксированных в формалине и залитых в парафин. Для диагностики in vitro.</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Реактивность: человек</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Локализация на уровне клеток: ядерная</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Состав</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Первичные моноклональные мышиные антитела к IgG человека Pax-5, бычий сывороточный альбумин, консервант Proclin 950</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Форма выпуска: концентрированные</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Рекомендуемые разведения: 1:100 - 1:250</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Обусловлено требованиями инструкции к реагенту. </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Количественная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Фасовка: пластиковый флакон</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 0.2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Мл</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Совместимость: применимо как для ручного, так и для автоматического окрашивания.</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Обусловлено требованиями инструкции к реагенту. </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3</w:t>
            </w:r>
          </w:p>
        </w:tc>
        <w:tc>
          <w:tcPr>
            <w:tcW w:w="55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Pax-8 антиген ИВД, антитела</w:t>
            </w:r>
          </w:p>
        </w:tc>
        <w:tc>
          <w:tcPr>
            <w:tcW w:w="20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1</w:t>
            </w:r>
          </w:p>
        </w:tc>
        <w:tc>
          <w:tcPr>
            <w:tcW w:w="35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21.20.23.110</w:t>
            </w:r>
          </w:p>
        </w:tc>
        <w:tc>
          <w:tcPr>
            <w:tcW w:w="28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Упаковка</w:t>
            </w:r>
          </w:p>
        </w:tc>
        <w:tc>
          <w:tcPr>
            <w:tcW w:w="417"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Характеристики в соответствии с КТРУ:</w:t>
            </w:r>
          </w:p>
        </w:tc>
        <w:tc>
          <w:tcPr>
            <w:tcW w:w="454"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57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28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412"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71" w:type="pct"/>
            <w:tcBorders>
              <w:top w:val="nil"/>
              <w:left w:val="nil"/>
              <w:bottom w:val="single" w:sz="8" w:space="0" w:color="auto"/>
              <w:right w:val="nil"/>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8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c>
          <w:tcPr>
            <w:tcW w:w="16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c>
          <w:tcPr>
            <w:tcW w:w="20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Дополнительные характеристики:</w:t>
            </w:r>
          </w:p>
        </w:tc>
        <w:tc>
          <w:tcPr>
            <w:tcW w:w="454"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57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28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412"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71" w:type="pct"/>
            <w:tcBorders>
              <w:top w:val="nil"/>
              <w:left w:val="nil"/>
              <w:bottom w:val="single" w:sz="8" w:space="0" w:color="auto"/>
              <w:right w:val="nil"/>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Назначение</w:t>
            </w:r>
          </w:p>
        </w:tc>
        <w:tc>
          <w:tcPr>
            <w:tcW w:w="57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Для качественного иммуногистохимического определения белка Pax-8 в срезах тканей человека, фиксированных в формалине и залитых в парафин. Для диагностики in vitro.</w:t>
            </w:r>
          </w:p>
        </w:tc>
        <w:tc>
          <w:tcPr>
            <w:tcW w:w="28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Реактивность: человек</w:t>
            </w:r>
          </w:p>
        </w:tc>
        <w:tc>
          <w:tcPr>
            <w:tcW w:w="57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Локализация на уровне клеток: ядерная</w:t>
            </w:r>
          </w:p>
        </w:tc>
        <w:tc>
          <w:tcPr>
            <w:tcW w:w="57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Состав</w:t>
            </w:r>
          </w:p>
        </w:tc>
        <w:tc>
          <w:tcPr>
            <w:tcW w:w="57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Первичные моноклональные мышиные антитела к IgG человека Pax-8, бычий сывороточный альбумин, консервант Proclin 950</w:t>
            </w:r>
          </w:p>
        </w:tc>
        <w:tc>
          <w:tcPr>
            <w:tcW w:w="28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Форма выпуска: концентрированные</w:t>
            </w:r>
          </w:p>
        </w:tc>
        <w:tc>
          <w:tcPr>
            <w:tcW w:w="57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Рекомендуемые разведения: 1:100 - 1:200</w:t>
            </w:r>
          </w:p>
        </w:tc>
        <w:tc>
          <w:tcPr>
            <w:tcW w:w="57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Обусловлено требованиями инструкции к реагенту. </w:t>
            </w:r>
          </w:p>
        </w:tc>
        <w:tc>
          <w:tcPr>
            <w:tcW w:w="371" w:type="pct"/>
            <w:tcBorders>
              <w:top w:val="nil"/>
              <w:left w:val="nil"/>
              <w:bottom w:val="single" w:sz="8" w:space="0" w:color="auto"/>
              <w:right w:val="nil"/>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Количественная</w:t>
            </w:r>
          </w:p>
        </w:tc>
        <w:tc>
          <w:tcPr>
            <w:tcW w:w="454"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Фасовка: пластиковый флакон</w:t>
            </w:r>
          </w:p>
        </w:tc>
        <w:tc>
          <w:tcPr>
            <w:tcW w:w="57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 0.2 </w:t>
            </w:r>
          </w:p>
        </w:tc>
        <w:tc>
          <w:tcPr>
            <w:tcW w:w="28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Мл</w:t>
            </w:r>
          </w:p>
        </w:tc>
        <w:tc>
          <w:tcPr>
            <w:tcW w:w="412"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71" w:type="pct"/>
            <w:tcBorders>
              <w:top w:val="nil"/>
              <w:left w:val="nil"/>
              <w:bottom w:val="single" w:sz="8" w:space="0" w:color="auto"/>
              <w:right w:val="nil"/>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Совместимость: применимо как для ручного, так и для автоматического окрашивания.</w:t>
            </w:r>
          </w:p>
        </w:tc>
        <w:tc>
          <w:tcPr>
            <w:tcW w:w="57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Обусловлено требованиями инструкции к реагенту. </w:t>
            </w:r>
          </w:p>
        </w:tc>
        <w:tc>
          <w:tcPr>
            <w:tcW w:w="371" w:type="pct"/>
            <w:tcBorders>
              <w:top w:val="nil"/>
              <w:left w:val="nil"/>
              <w:bottom w:val="single" w:sz="8" w:space="0" w:color="auto"/>
              <w:right w:val="nil"/>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4</w:t>
            </w:r>
          </w:p>
        </w:tc>
        <w:tc>
          <w:tcPr>
            <w:tcW w:w="557"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SOX-10 антиген ИВД, антитела</w:t>
            </w:r>
          </w:p>
        </w:tc>
        <w:tc>
          <w:tcPr>
            <w:tcW w:w="202"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1</w:t>
            </w:r>
          </w:p>
        </w:tc>
        <w:tc>
          <w:tcPr>
            <w:tcW w:w="357"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21.20.23.110</w:t>
            </w:r>
          </w:p>
        </w:tc>
        <w:tc>
          <w:tcPr>
            <w:tcW w:w="280"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Упаковка</w:t>
            </w: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Характеристики в соответствии с КТРУ:</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8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c>
          <w:tcPr>
            <w:tcW w:w="16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c>
          <w:tcPr>
            <w:tcW w:w="20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Дополнительные характеристики:</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Назначение</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Для качественного иммуногистохимического определения белка SOX-10 в срезах тканей человека, фиксированных в формалине и залитых в парафин. Для диагностики in vitro.</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Реактивность: человек</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Локализация на уровне клеток: ядерная</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Состав</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Первичные моноклональные мышиные антитела к IgG человека SOX-10, бычий сывороточный альбумин, консервант Proclin 950</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Форма выпуска: концентрированные</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Рекомендуемые разведения: 1:100 - 1:250</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Обусловлено требованиями инструкции к реагенту. </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Количественная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Фасовка: пластиковый флакон</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 0.2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Мл</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Совместимость: применимо как для ручного, так и для автоматического окрашивания.</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Обусловлено требованиями инструкции к реагенту. </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5</w:t>
            </w:r>
          </w:p>
        </w:tc>
        <w:tc>
          <w:tcPr>
            <w:tcW w:w="557"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Иммуногистохимическое определение антител ИВД, набор, иммуногистохимическая реакция с ферментной меткой</w:t>
            </w:r>
          </w:p>
        </w:tc>
        <w:tc>
          <w:tcPr>
            <w:tcW w:w="202"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1</w:t>
            </w:r>
          </w:p>
        </w:tc>
        <w:tc>
          <w:tcPr>
            <w:tcW w:w="357"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21.20.23.110-00001306*</w:t>
            </w:r>
          </w:p>
        </w:tc>
        <w:tc>
          <w:tcPr>
            <w:tcW w:w="280"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Набор</w:t>
            </w: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Характеристики в соответствии с КТРУ:</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8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c>
          <w:tcPr>
            <w:tcW w:w="16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c>
          <w:tcPr>
            <w:tcW w:w="20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 </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Количество выполняемых тестов</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1 000 ≤ 1 250</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Штука</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 </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Назначение</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Для ручной постановки анализа</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Дополнительные характеристики:</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Описание</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Для иммуногистохимического окрашивания гистологических срезов тканей человека, фиксированных в 10%-ном нейтральном забуференном формалине и залитых в парафин, с целью качественного или полуколичественного выявления мишеней, связанных с первичными антителами. Для диагностики in vitro.</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инструкции к анализатору</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Форма выпуска: готовые к применению</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Стабильность после вскрытия: до окончания срока годности, указанной на упаковке</w:t>
            </w:r>
          </w:p>
        </w:tc>
        <w:tc>
          <w:tcPr>
            <w:tcW w:w="57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412"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Высокая стабильность позволяет рационально использовать запас реагентов</w:t>
            </w:r>
          </w:p>
        </w:tc>
        <w:tc>
          <w:tcPr>
            <w:tcW w:w="371" w:type="pct"/>
            <w:tcBorders>
              <w:top w:val="nil"/>
              <w:left w:val="nil"/>
              <w:bottom w:val="single" w:sz="8" w:space="0" w:color="auto"/>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nil"/>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Состав: Вторичные антитела, конъюгированные с полимером – Anti-Mouse/Rabbit HRP-Polymer</w:t>
            </w:r>
          </w:p>
        </w:tc>
        <w:tc>
          <w:tcPr>
            <w:tcW w:w="570"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xml:space="preserve">Соответствие </w:t>
            </w:r>
          </w:p>
        </w:tc>
        <w:tc>
          <w:tcPr>
            <w:tcW w:w="280"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371" w:type="pct"/>
            <w:vMerge w:val="restart"/>
            <w:tcBorders>
              <w:top w:val="nil"/>
              <w:left w:val="single" w:sz="8" w:space="0" w:color="auto"/>
              <w:bottom w:val="single" w:sz="8" w:space="0" w:color="000000"/>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54" w:type="pct"/>
            <w:tcBorders>
              <w:top w:val="nil"/>
              <w:left w:val="nil"/>
              <w:bottom w:val="nil"/>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val="en-US" w:eastAsia="ru-RU"/>
              </w:rPr>
            </w:pPr>
            <w:r w:rsidRPr="007237FC">
              <w:rPr>
                <w:rFonts w:ascii="Times New Roman" w:eastAsia="Times New Roman" w:hAnsi="Times New Roman" w:cs="Times New Roman"/>
                <w:color w:val="000000"/>
                <w:sz w:val="16"/>
                <w:szCs w:val="16"/>
                <w:lang w:val="en-US" w:eastAsia="ru-RU"/>
              </w:rPr>
              <w:t>DAB хромоген – DAB Chromogen (20x)</w:t>
            </w:r>
          </w:p>
        </w:tc>
        <w:tc>
          <w:tcPr>
            <w:tcW w:w="57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val="en-US"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val="en-US" w:eastAsia="ru-RU"/>
              </w:rPr>
            </w:pPr>
          </w:p>
        </w:tc>
        <w:tc>
          <w:tcPr>
            <w:tcW w:w="41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val="en-US" w:eastAsia="ru-RU"/>
              </w:rPr>
            </w:pPr>
          </w:p>
        </w:tc>
        <w:tc>
          <w:tcPr>
            <w:tcW w:w="371" w:type="pct"/>
            <w:vMerge/>
            <w:tcBorders>
              <w:top w:val="nil"/>
              <w:left w:val="single" w:sz="8" w:space="0" w:color="auto"/>
              <w:bottom w:val="single" w:sz="8" w:space="0" w:color="000000"/>
              <w:right w:val="nil"/>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val="en-US" w:eastAsia="ru-RU"/>
              </w:rPr>
            </w:pP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val="en-US"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val="en-US"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val="en-US"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val="en-US"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val="en-US"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val="en-US"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val="en-US"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val="en-US"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val="en-US" w:eastAsia="ru-RU"/>
              </w:rPr>
            </w:pPr>
          </w:p>
        </w:tc>
        <w:tc>
          <w:tcPr>
            <w:tcW w:w="41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val="en-US" w:eastAsia="ru-RU"/>
              </w:rPr>
            </w:pPr>
          </w:p>
        </w:tc>
        <w:tc>
          <w:tcPr>
            <w:tcW w:w="454" w:type="pct"/>
            <w:tcBorders>
              <w:top w:val="nil"/>
              <w:left w:val="nil"/>
              <w:bottom w:val="nil"/>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Буфер для разведения DAB – DAB Substrate Buffer</w:t>
            </w:r>
          </w:p>
        </w:tc>
        <w:tc>
          <w:tcPr>
            <w:tcW w:w="57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71" w:type="pct"/>
            <w:vMerge/>
            <w:tcBorders>
              <w:top w:val="nil"/>
              <w:left w:val="single" w:sz="8" w:space="0" w:color="auto"/>
              <w:bottom w:val="single" w:sz="8" w:space="0" w:color="000000"/>
              <w:right w:val="nil"/>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54" w:type="pct"/>
            <w:tcBorders>
              <w:top w:val="nil"/>
              <w:left w:val="nil"/>
              <w:bottom w:val="single" w:sz="8" w:space="0" w:color="auto"/>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Инструкция по применению – 1 шт.</w:t>
            </w:r>
          </w:p>
        </w:tc>
        <w:tc>
          <w:tcPr>
            <w:tcW w:w="57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71" w:type="pct"/>
            <w:vMerge/>
            <w:tcBorders>
              <w:top w:val="nil"/>
              <w:left w:val="single" w:sz="8" w:space="0" w:color="auto"/>
              <w:bottom w:val="single" w:sz="8" w:space="0" w:color="000000"/>
              <w:right w:val="nil"/>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Количественная</w:t>
            </w:r>
          </w:p>
        </w:tc>
        <w:tc>
          <w:tcPr>
            <w:tcW w:w="454"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Объем: вторичные антитела, конъюгированные с полимером – Anti-Mouse/Rabbit HRP-Polymer</w:t>
            </w:r>
          </w:p>
        </w:tc>
        <w:tc>
          <w:tcPr>
            <w:tcW w:w="570"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100</w:t>
            </w:r>
          </w:p>
        </w:tc>
        <w:tc>
          <w:tcPr>
            <w:tcW w:w="280"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Мл</w:t>
            </w: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71" w:type="pct"/>
            <w:vMerge w:val="restart"/>
            <w:tcBorders>
              <w:top w:val="nil"/>
              <w:left w:val="single" w:sz="8" w:space="0" w:color="auto"/>
              <w:bottom w:val="single" w:sz="8" w:space="0" w:color="000000"/>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54"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7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71" w:type="pct"/>
            <w:vMerge/>
            <w:tcBorders>
              <w:top w:val="nil"/>
              <w:left w:val="single" w:sz="8" w:space="0" w:color="auto"/>
              <w:bottom w:val="single" w:sz="8" w:space="0" w:color="000000"/>
              <w:right w:val="nil"/>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Количественная</w:t>
            </w:r>
          </w:p>
        </w:tc>
        <w:tc>
          <w:tcPr>
            <w:tcW w:w="454"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Объем: DAB хромоген – DAB Chromogen (20x)</w:t>
            </w:r>
          </w:p>
        </w:tc>
        <w:tc>
          <w:tcPr>
            <w:tcW w:w="570"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5</w:t>
            </w:r>
          </w:p>
        </w:tc>
        <w:tc>
          <w:tcPr>
            <w:tcW w:w="280"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Мл</w:t>
            </w: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71" w:type="pct"/>
            <w:vMerge w:val="restart"/>
            <w:tcBorders>
              <w:top w:val="nil"/>
              <w:left w:val="single" w:sz="8" w:space="0" w:color="auto"/>
              <w:bottom w:val="single" w:sz="8" w:space="0" w:color="000000"/>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54"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7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71" w:type="pct"/>
            <w:vMerge/>
            <w:tcBorders>
              <w:top w:val="nil"/>
              <w:left w:val="single" w:sz="8" w:space="0" w:color="auto"/>
              <w:bottom w:val="single" w:sz="8" w:space="0" w:color="000000"/>
              <w:right w:val="nil"/>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Количественная</w:t>
            </w:r>
          </w:p>
        </w:tc>
        <w:tc>
          <w:tcPr>
            <w:tcW w:w="454"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Объем: буфер для разведения DAB – DAB Substrate Buffer</w:t>
            </w:r>
          </w:p>
        </w:tc>
        <w:tc>
          <w:tcPr>
            <w:tcW w:w="570"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100</w:t>
            </w:r>
          </w:p>
        </w:tc>
        <w:tc>
          <w:tcPr>
            <w:tcW w:w="280"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Мл</w:t>
            </w:r>
          </w:p>
        </w:tc>
        <w:tc>
          <w:tcPr>
            <w:tcW w:w="412" w:type="pct"/>
            <w:vMerge w:val="restart"/>
            <w:tcBorders>
              <w:top w:val="nil"/>
              <w:left w:val="single" w:sz="8" w:space="0" w:color="auto"/>
              <w:bottom w:val="single" w:sz="8" w:space="0" w:color="000000"/>
              <w:right w:val="single" w:sz="8" w:space="0" w:color="auto"/>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71" w:type="pct"/>
            <w:vMerge w:val="restart"/>
            <w:tcBorders>
              <w:top w:val="nil"/>
              <w:left w:val="single" w:sz="8" w:space="0" w:color="auto"/>
              <w:bottom w:val="single" w:sz="8" w:space="0" w:color="000000"/>
              <w:right w:val="nil"/>
            </w:tcBorders>
            <w:shd w:val="clear" w:color="auto" w:fill="auto"/>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54"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7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71" w:type="pct"/>
            <w:vMerge/>
            <w:tcBorders>
              <w:top w:val="nil"/>
              <w:left w:val="single" w:sz="8" w:space="0" w:color="auto"/>
              <w:bottom w:val="single" w:sz="8" w:space="0" w:color="000000"/>
              <w:right w:val="nil"/>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6</w:t>
            </w:r>
          </w:p>
        </w:tc>
        <w:tc>
          <w:tcPr>
            <w:tcW w:w="55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Антитела к OCT-4 (MRQ-10) в растворе солевого фосфатного буфера</w:t>
            </w:r>
          </w:p>
        </w:tc>
        <w:tc>
          <w:tcPr>
            <w:tcW w:w="20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2</w:t>
            </w:r>
          </w:p>
        </w:tc>
        <w:tc>
          <w:tcPr>
            <w:tcW w:w="35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21.20.23.110</w:t>
            </w:r>
          </w:p>
        </w:tc>
        <w:tc>
          <w:tcPr>
            <w:tcW w:w="28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Упаковка</w:t>
            </w:r>
          </w:p>
        </w:tc>
        <w:tc>
          <w:tcPr>
            <w:tcW w:w="417"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Характеристики в соответствии с КТРУ:</w:t>
            </w:r>
          </w:p>
        </w:tc>
        <w:tc>
          <w:tcPr>
            <w:tcW w:w="454"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57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28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412"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71" w:type="pct"/>
            <w:tcBorders>
              <w:top w:val="nil"/>
              <w:left w:val="nil"/>
              <w:bottom w:val="single" w:sz="8" w:space="0" w:color="auto"/>
              <w:right w:val="nil"/>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8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c>
          <w:tcPr>
            <w:tcW w:w="24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c>
          <w:tcPr>
            <w:tcW w:w="16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c>
          <w:tcPr>
            <w:tcW w:w="20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7237FC" w:rsidRPr="007237FC" w:rsidRDefault="007237FC" w:rsidP="007237FC">
            <w:pPr>
              <w:spacing w:after="0" w:line="240" w:lineRule="auto"/>
              <w:jc w:val="center"/>
              <w:rPr>
                <w:rFonts w:ascii="Calibri" w:eastAsia="Times New Roman" w:hAnsi="Calibri" w:cs="Times New Roman"/>
                <w:color w:val="000000"/>
                <w:lang w:eastAsia="ru-RU"/>
              </w:rPr>
            </w:pPr>
            <w:r w:rsidRPr="007237FC">
              <w:rPr>
                <w:rFonts w:ascii="Calibri" w:eastAsia="Times New Roman" w:hAnsi="Calibri" w:cs="Times New Roman"/>
                <w:color w:val="000000"/>
                <w:lang w:eastAsia="ru-RU"/>
              </w:rPr>
              <w:t> </w:t>
            </w: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b/>
                <w:bCs/>
                <w:color w:val="000000"/>
                <w:sz w:val="16"/>
                <w:szCs w:val="16"/>
                <w:lang w:eastAsia="ru-RU"/>
              </w:rPr>
            </w:pPr>
            <w:r w:rsidRPr="007237FC">
              <w:rPr>
                <w:rFonts w:ascii="Times New Roman" w:eastAsia="Times New Roman" w:hAnsi="Times New Roman" w:cs="Times New Roman"/>
                <w:b/>
                <w:bCs/>
                <w:color w:val="000000"/>
                <w:sz w:val="16"/>
                <w:szCs w:val="16"/>
                <w:lang w:eastAsia="ru-RU"/>
              </w:rPr>
              <w:t>Дополнительные характеристики:</w:t>
            </w:r>
          </w:p>
        </w:tc>
        <w:tc>
          <w:tcPr>
            <w:tcW w:w="454"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57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28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412"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71" w:type="pct"/>
            <w:tcBorders>
              <w:top w:val="nil"/>
              <w:left w:val="nil"/>
              <w:bottom w:val="single" w:sz="8" w:space="0" w:color="auto"/>
              <w:right w:val="nil"/>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Назначение</w:t>
            </w:r>
          </w:p>
        </w:tc>
        <w:tc>
          <w:tcPr>
            <w:tcW w:w="57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Готовые к применению первичные  антитела (мышиные моноклональные)  к  белку OCT-4 человека, клон MRQ-10 для выявления Oct-4 для проведения in vitro диагностики методом иммуногистохимического анализа на парафиновых срезах фиксированного в формалине материала  с помощью автоматических иммуногистостейнеров Ventana.</w:t>
            </w:r>
          </w:p>
        </w:tc>
        <w:tc>
          <w:tcPr>
            <w:tcW w:w="28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w:t>
            </w:r>
          </w:p>
        </w:tc>
        <w:tc>
          <w:tcPr>
            <w:tcW w:w="412"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лабораторного процесса при эксплуатации оборудования</w:t>
            </w:r>
          </w:p>
        </w:tc>
        <w:tc>
          <w:tcPr>
            <w:tcW w:w="371" w:type="pct"/>
            <w:tcBorders>
              <w:top w:val="nil"/>
              <w:left w:val="nil"/>
              <w:bottom w:val="single" w:sz="8" w:space="0" w:color="auto"/>
              <w:right w:val="nil"/>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Качественная</w:t>
            </w:r>
          </w:p>
        </w:tc>
        <w:tc>
          <w:tcPr>
            <w:tcW w:w="454"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Фасовка</w:t>
            </w:r>
          </w:p>
        </w:tc>
        <w:tc>
          <w:tcPr>
            <w:tcW w:w="57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Пластиковый флакон-дозатор с реагентом</w:t>
            </w:r>
          </w:p>
        </w:tc>
        <w:tc>
          <w:tcPr>
            <w:tcW w:w="28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w:t>
            </w:r>
          </w:p>
        </w:tc>
        <w:tc>
          <w:tcPr>
            <w:tcW w:w="412"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Обусловлено требованиями к оптимизации лабораторных исследований</w:t>
            </w:r>
          </w:p>
        </w:tc>
        <w:tc>
          <w:tcPr>
            <w:tcW w:w="371" w:type="pct"/>
            <w:tcBorders>
              <w:top w:val="nil"/>
              <w:left w:val="nil"/>
              <w:bottom w:val="single" w:sz="8" w:space="0" w:color="auto"/>
              <w:right w:val="nil"/>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Значение характеристики не может изменятся участником закупки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Количественная</w:t>
            </w:r>
          </w:p>
        </w:tc>
        <w:tc>
          <w:tcPr>
            <w:tcW w:w="454"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Объем пластикового флакона-дозатора с реагентом</w:t>
            </w:r>
          </w:p>
        </w:tc>
        <w:tc>
          <w:tcPr>
            <w:tcW w:w="57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5</w:t>
            </w:r>
          </w:p>
        </w:tc>
        <w:tc>
          <w:tcPr>
            <w:tcW w:w="280"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Мл</w:t>
            </w:r>
          </w:p>
        </w:tc>
        <w:tc>
          <w:tcPr>
            <w:tcW w:w="412" w:type="pct"/>
            <w:tcBorders>
              <w:top w:val="nil"/>
              <w:left w:val="nil"/>
              <w:bottom w:val="single" w:sz="8" w:space="0" w:color="auto"/>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71" w:type="pct"/>
            <w:tcBorders>
              <w:top w:val="nil"/>
              <w:left w:val="nil"/>
              <w:bottom w:val="single" w:sz="8" w:space="0" w:color="auto"/>
              <w:right w:val="nil"/>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vMerge w:val="restart"/>
            <w:tcBorders>
              <w:top w:val="nil"/>
              <w:left w:val="single" w:sz="8" w:space="0" w:color="auto"/>
              <w:bottom w:val="single" w:sz="8" w:space="0" w:color="000000"/>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Количественная</w:t>
            </w:r>
          </w:p>
        </w:tc>
        <w:tc>
          <w:tcPr>
            <w:tcW w:w="454" w:type="pct"/>
            <w:vMerge w:val="restart"/>
            <w:tcBorders>
              <w:top w:val="nil"/>
              <w:left w:val="single" w:sz="8" w:space="0" w:color="auto"/>
              <w:bottom w:val="single" w:sz="8" w:space="0" w:color="000000"/>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Количество определений в наборе</w:t>
            </w:r>
          </w:p>
        </w:tc>
        <w:tc>
          <w:tcPr>
            <w:tcW w:w="57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 50</w:t>
            </w:r>
          </w:p>
        </w:tc>
        <w:tc>
          <w:tcPr>
            <w:tcW w:w="280" w:type="pct"/>
            <w:vMerge w:val="restart"/>
            <w:tcBorders>
              <w:top w:val="nil"/>
              <w:left w:val="single" w:sz="8" w:space="0" w:color="auto"/>
              <w:bottom w:val="single" w:sz="8" w:space="0" w:color="000000"/>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Штука</w:t>
            </w:r>
          </w:p>
        </w:tc>
        <w:tc>
          <w:tcPr>
            <w:tcW w:w="41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Из расчета на определенное количество исследований на анализаторе</w:t>
            </w:r>
          </w:p>
        </w:tc>
        <w:tc>
          <w:tcPr>
            <w:tcW w:w="371" w:type="pct"/>
            <w:vMerge w:val="restart"/>
            <w:tcBorders>
              <w:top w:val="nil"/>
              <w:left w:val="single" w:sz="8" w:space="0" w:color="auto"/>
              <w:bottom w:val="single" w:sz="8" w:space="0" w:color="000000"/>
              <w:right w:val="nil"/>
            </w:tcBorders>
            <w:shd w:val="clear" w:color="000000" w:fill="FFFFFF"/>
            <w:vAlign w:val="center"/>
            <w:hideMark/>
          </w:tcPr>
          <w:p w:rsidR="007237FC" w:rsidRPr="007237FC" w:rsidRDefault="007237FC" w:rsidP="007237FC">
            <w:pPr>
              <w:spacing w:after="0" w:line="240" w:lineRule="auto"/>
              <w:jc w:val="center"/>
              <w:rPr>
                <w:rFonts w:ascii="Times New Roman" w:eastAsia="Times New Roman" w:hAnsi="Times New Roman" w:cs="Times New Roman"/>
                <w:color w:val="000000"/>
                <w:sz w:val="16"/>
                <w:szCs w:val="16"/>
                <w:lang w:eastAsia="ru-RU"/>
              </w:rPr>
            </w:pPr>
            <w:r w:rsidRPr="007237FC">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r w:rsidR="007237FC" w:rsidRPr="007237FC" w:rsidTr="007237FC">
        <w:trPr>
          <w:trHeight w:val="402"/>
        </w:trPr>
        <w:tc>
          <w:tcPr>
            <w:tcW w:w="10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0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5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7"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54"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57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280"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412" w:type="pct"/>
            <w:vMerge/>
            <w:tcBorders>
              <w:top w:val="nil"/>
              <w:left w:val="single" w:sz="8" w:space="0" w:color="auto"/>
              <w:bottom w:val="single" w:sz="8" w:space="0" w:color="000000"/>
              <w:right w:val="single" w:sz="8" w:space="0" w:color="auto"/>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71" w:type="pct"/>
            <w:vMerge/>
            <w:tcBorders>
              <w:top w:val="nil"/>
              <w:left w:val="single" w:sz="8" w:space="0" w:color="auto"/>
              <w:bottom w:val="single" w:sz="8" w:space="0" w:color="000000"/>
              <w:right w:val="nil"/>
            </w:tcBorders>
            <w:vAlign w:val="center"/>
            <w:hideMark/>
          </w:tcPr>
          <w:p w:rsidR="007237FC" w:rsidRPr="007237FC" w:rsidRDefault="007237FC" w:rsidP="007237FC">
            <w:pPr>
              <w:spacing w:after="0" w:line="240" w:lineRule="auto"/>
              <w:rPr>
                <w:rFonts w:ascii="Times New Roman" w:eastAsia="Times New Roman" w:hAnsi="Times New Roman" w:cs="Times New Roman"/>
                <w:color w:val="000000"/>
                <w:sz w:val="16"/>
                <w:szCs w:val="16"/>
                <w:lang w:eastAsia="ru-RU"/>
              </w:rPr>
            </w:pPr>
          </w:p>
        </w:tc>
        <w:tc>
          <w:tcPr>
            <w:tcW w:w="38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40"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166"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c>
          <w:tcPr>
            <w:tcW w:w="202" w:type="pct"/>
            <w:vMerge/>
            <w:tcBorders>
              <w:top w:val="nil"/>
              <w:left w:val="single" w:sz="4" w:space="0" w:color="auto"/>
              <w:bottom w:val="single" w:sz="4" w:space="0" w:color="000000"/>
              <w:right w:val="single" w:sz="4" w:space="0" w:color="auto"/>
            </w:tcBorders>
            <w:vAlign w:val="center"/>
            <w:hideMark/>
          </w:tcPr>
          <w:p w:rsidR="007237FC" w:rsidRPr="007237FC" w:rsidRDefault="007237FC" w:rsidP="007237FC">
            <w:pPr>
              <w:spacing w:after="0" w:line="240" w:lineRule="auto"/>
              <w:rPr>
                <w:rFonts w:ascii="Calibri" w:eastAsia="Times New Roman" w:hAnsi="Calibri" w:cs="Times New Roman"/>
                <w:color w:val="000000"/>
                <w:lang w:eastAsia="ru-RU"/>
              </w:rPr>
            </w:pPr>
          </w:p>
        </w:tc>
      </w:tr>
    </w:tbl>
    <w:p w:rsidR="007237FC" w:rsidRDefault="007237FC" w:rsidP="007237FC">
      <w:pPr>
        <w:autoSpaceDE w:val="0"/>
        <w:autoSpaceDN w:val="0"/>
        <w:adjustRightInd w:val="0"/>
        <w:rPr>
          <w:rFonts w:ascii="Times New Roman CYR" w:hAnsi="Times New Roman CYR" w:cs="Times New Roman CYR"/>
          <w:b/>
          <w:bCs/>
        </w:rPr>
      </w:pPr>
      <w:r>
        <w:rPr>
          <w:rFonts w:ascii="Times New Roman CYR" w:hAnsi="Times New Roman CYR" w:cs="Times New Roman CYR"/>
          <w:b/>
          <w:bCs/>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 безопасности пациентов при выполнении медицинских вмешательств, предотвращения аллергических реакций и контаминации патогенами, выполнения требований санэпидрежима.</w:t>
      </w:r>
    </w:p>
    <w:p w:rsidR="00170252" w:rsidRDefault="00170252" w:rsidP="000820E3">
      <w:pPr>
        <w:rPr>
          <w:rFonts w:ascii="Times New Roman" w:hAnsi="Times New Roman" w:cs="Times New Roman"/>
          <w:b/>
          <w:sz w:val="28"/>
          <w:szCs w:val="28"/>
        </w:rPr>
      </w:pPr>
    </w:p>
    <w:sectPr w:rsidR="00170252" w:rsidSect="007237FC">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52A" w:rsidRDefault="0050752A">
      <w:pPr>
        <w:spacing w:after="0" w:line="240" w:lineRule="auto"/>
      </w:pPr>
      <w:r>
        <w:separator/>
      </w:r>
    </w:p>
  </w:endnote>
  <w:endnote w:type="continuationSeparator" w:id="0">
    <w:p w:rsidR="0050752A" w:rsidRDefault="00507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E5B80" w:rsidRDefault="004E5B80">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4E5B80">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4E5B80">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4E5B80">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4E5B80">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7237FC">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4E5B80">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7237FC">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52A" w:rsidRDefault="0050752A">
      <w:pPr>
        <w:spacing w:after="0" w:line="240" w:lineRule="auto"/>
      </w:pPr>
      <w:r>
        <w:separator/>
      </w:r>
    </w:p>
  </w:footnote>
  <w:footnote w:type="continuationSeparator" w:id="0">
    <w:p w:rsidR="0050752A" w:rsidRDefault="0050752A">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E5B80" w:rsidRDefault="004E5B80">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E5B80" w:rsidRDefault="004E5B80">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E5B80" w:rsidRDefault="004E5B80">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E5B80"/>
    <w:rsid w:val="004F06D8"/>
    <w:rsid w:val="004F2477"/>
    <w:rsid w:val="004F56B2"/>
    <w:rsid w:val="005015AB"/>
    <w:rsid w:val="0050752A"/>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237FC"/>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msonormal0">
    <w:name w:val="msonormal"/>
    <w:basedOn w:val="a0"/>
    <w:rsid w:val="00723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7237FC"/>
    <w:pPr>
      <w:spacing w:before="100" w:beforeAutospacing="1" w:after="100" w:afterAutospacing="1" w:line="240" w:lineRule="auto"/>
    </w:pPr>
    <w:rPr>
      <w:rFonts w:ascii="Times New Roman" w:eastAsia="Times New Roman" w:hAnsi="Times New Roman" w:cs="Times New Roman"/>
      <w:b/>
      <w:bCs/>
      <w:color w:val="000000"/>
      <w:sz w:val="16"/>
      <w:szCs w:val="16"/>
      <w:lang w:eastAsia="ru-RU"/>
    </w:rPr>
  </w:style>
  <w:style w:type="paragraph" w:customStyle="1" w:styleId="xl63">
    <w:name w:val="xl63"/>
    <w:basedOn w:val="a0"/>
    <w:rsid w:val="007237FC"/>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64">
    <w:name w:val="xl64"/>
    <w:basedOn w:val="a0"/>
    <w:rsid w:val="007237FC"/>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5">
    <w:name w:val="xl65"/>
    <w:basedOn w:val="a0"/>
    <w:rsid w:val="007237FC"/>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6">
    <w:name w:val="xl66"/>
    <w:basedOn w:val="a0"/>
    <w:rsid w:val="007237F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67">
    <w:name w:val="xl67"/>
    <w:basedOn w:val="a0"/>
    <w:rsid w:val="007237F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68">
    <w:name w:val="xl68"/>
    <w:basedOn w:val="a0"/>
    <w:rsid w:val="007237F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69">
    <w:name w:val="xl69"/>
    <w:basedOn w:val="a0"/>
    <w:rsid w:val="007237FC"/>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0">
    <w:name w:val="xl70"/>
    <w:basedOn w:val="a0"/>
    <w:rsid w:val="007237F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71">
    <w:name w:val="xl71"/>
    <w:basedOn w:val="a0"/>
    <w:rsid w:val="007237FC"/>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
    <w:name w:val="xl72"/>
    <w:basedOn w:val="a0"/>
    <w:rsid w:val="007237F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3">
    <w:name w:val="xl73"/>
    <w:basedOn w:val="a0"/>
    <w:rsid w:val="007237F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4">
    <w:name w:val="xl74"/>
    <w:basedOn w:val="a0"/>
    <w:rsid w:val="007237FC"/>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5">
    <w:name w:val="xl75"/>
    <w:basedOn w:val="a0"/>
    <w:rsid w:val="007237FC"/>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0"/>
    <w:rsid w:val="007237FC"/>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0"/>
    <w:rsid w:val="007237FC"/>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8">
    <w:name w:val="xl78"/>
    <w:basedOn w:val="a0"/>
    <w:rsid w:val="007237FC"/>
    <w:pPr>
      <w:pBdr>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0"/>
    <w:rsid w:val="007237FC"/>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0">
    <w:name w:val="xl80"/>
    <w:basedOn w:val="a0"/>
    <w:rsid w:val="007237FC"/>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1">
    <w:name w:val="xl81"/>
    <w:basedOn w:val="a0"/>
    <w:rsid w:val="007237FC"/>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2">
    <w:name w:val="xl82"/>
    <w:basedOn w:val="a0"/>
    <w:rsid w:val="007237FC"/>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3">
    <w:name w:val="xl83"/>
    <w:basedOn w:val="a0"/>
    <w:rsid w:val="007237F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0"/>
    <w:rsid w:val="007237FC"/>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5">
    <w:name w:val="xl85"/>
    <w:basedOn w:val="a0"/>
    <w:rsid w:val="007237FC"/>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0"/>
    <w:rsid w:val="007237F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0"/>
    <w:rsid w:val="007237F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8">
    <w:name w:val="xl88"/>
    <w:basedOn w:val="a0"/>
    <w:rsid w:val="007237F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89">
    <w:name w:val="xl89"/>
    <w:basedOn w:val="a0"/>
    <w:rsid w:val="007237F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0">
    <w:name w:val="xl90"/>
    <w:basedOn w:val="a0"/>
    <w:rsid w:val="007237FC"/>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1">
    <w:name w:val="xl91"/>
    <w:basedOn w:val="a0"/>
    <w:rsid w:val="007237FC"/>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 w:type="paragraph" w:customStyle="1" w:styleId="xl92">
    <w:name w:val="xl92"/>
    <w:basedOn w:val="a0"/>
    <w:rsid w:val="007237FC"/>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06545071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65F41-1DE4-42C3-B9C7-0B51A7AAD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2767</Words>
  <Characters>15778</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2026-08-05T06:50:00Z</dcterms:created>
  <dcterms:modified xsi:type="dcterms:W3CDTF">2026-08-05T06:50:00Z</dcterms:modified>
</cp:coreProperties>
</file>