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DAF022A" wp14:editId="3DF2EFC5">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13.04.2021 № 05-07/373</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20.04.2021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133312">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79"/>
        <w:gridCol w:w="9272"/>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реагентов, реактивов и расходных материалов для патологоанатомического отделения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21.20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 </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31.08.2021</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заявки от Заказчика. Последняя дата подачи заявки на поставку 24.08.2021. Максимальное количество партий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соответствия (декларации соответствия) на поставляемую продукцию.</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 </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установлены </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60 %</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 </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 xml:space="preserve">Предоставляемые участникам закупки преимущества в </w:t>
            </w:r>
            <w:r w:rsidRPr="00450429">
              <w:rPr>
                <w:rFonts w:ascii="Times New Roman" w:hAnsi="Times New Roman" w:cs="Times New Roman"/>
                <w:sz w:val="24"/>
                <w:szCs w:val="26"/>
              </w:rPr>
              <w:lastRenderedPageBreak/>
              <w:t>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установлены</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0820E3" w:rsidRDefault="00E52880" w:rsidP="00E52880">
      <w:pPr>
        <w:pStyle w:val="a7"/>
        <w:widowControl w:val="0"/>
        <w:spacing w:after="0"/>
        <w:ind w:left="644"/>
        <w:jc w:val="center"/>
        <w:rPr>
          <w:rFonts w:ascii="Times New Roman" w:hAnsi="Times New Roman"/>
          <w:b/>
          <w:sz w:val="24"/>
          <w:szCs w:val="26"/>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146" w:type="pct"/>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1970"/>
        <w:gridCol w:w="5538"/>
        <w:gridCol w:w="772"/>
        <w:gridCol w:w="1030"/>
        <w:gridCol w:w="1572"/>
        <w:gridCol w:w="1541"/>
        <w:gridCol w:w="771"/>
        <w:gridCol w:w="1065"/>
        <w:gridCol w:w="1517"/>
      </w:tblGrid>
      <w:tr w:rsidR="0032089F" w:rsidRPr="00C2575C" w:rsidTr="00FD6B6C">
        <w:trPr>
          <w:trHeight w:val="20"/>
          <w:jc w:val="center"/>
        </w:trPr>
        <w:tc>
          <w:tcPr>
            <w:tcW w:w="639" w:type="dxa"/>
            <w:vAlign w:val="center"/>
            <w:hideMark/>
          </w:tcPr>
          <w:p w:rsidR="0032089F" w:rsidRPr="000E0FFD" w:rsidRDefault="0032089F" w:rsidP="00FD6B6C">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1970" w:type="dxa"/>
            <w:vAlign w:val="center"/>
            <w:hideMark/>
          </w:tcPr>
          <w:p w:rsidR="0032089F" w:rsidRPr="008F2872" w:rsidRDefault="0032089F" w:rsidP="00FD6B6C">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5538" w:type="dxa"/>
            <w:vAlign w:val="center"/>
            <w:hideMark/>
          </w:tcPr>
          <w:p w:rsidR="0032089F" w:rsidRPr="000E0FFD" w:rsidRDefault="0032089F" w:rsidP="00FD6B6C">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772" w:type="dxa"/>
            <w:vAlign w:val="center"/>
          </w:tcPr>
          <w:p w:rsidR="0032089F" w:rsidRPr="000E0FFD" w:rsidRDefault="0032089F" w:rsidP="00FD6B6C">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1030" w:type="dxa"/>
            <w:vAlign w:val="center"/>
          </w:tcPr>
          <w:p w:rsidR="0032089F" w:rsidRPr="000E0FFD" w:rsidRDefault="0032089F" w:rsidP="00FD6B6C">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572" w:type="dxa"/>
            <w:vAlign w:val="center"/>
          </w:tcPr>
          <w:p w:rsidR="0032089F" w:rsidRPr="000E0FFD" w:rsidRDefault="0032089F" w:rsidP="00FD6B6C">
            <w:pPr>
              <w:spacing w:after="0" w:line="240" w:lineRule="auto"/>
              <w:jc w:val="center"/>
              <w:rPr>
                <w:rFonts w:ascii="Times New Roman" w:hAnsi="Times New Roman"/>
                <w:b/>
                <w:lang w:eastAsia="ru-RU"/>
              </w:rPr>
            </w:pPr>
            <w:r w:rsidRPr="000E0FFD">
              <w:rPr>
                <w:rFonts w:ascii="Times New Roman" w:hAnsi="Times New Roman"/>
                <w:b/>
                <w:lang w:eastAsia="ru-RU"/>
              </w:rPr>
              <w:t>ОКПД2/ КТРУ</w:t>
            </w:r>
          </w:p>
        </w:tc>
        <w:tc>
          <w:tcPr>
            <w:tcW w:w="1541" w:type="dxa"/>
            <w:shd w:val="clear" w:color="auto" w:fill="FFFFCC"/>
            <w:vAlign w:val="center"/>
          </w:tcPr>
          <w:p w:rsidR="0032089F" w:rsidRPr="000E0FFD" w:rsidRDefault="0032089F" w:rsidP="00FD6B6C">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771" w:type="dxa"/>
            <w:shd w:val="clear" w:color="auto" w:fill="FFFFCC"/>
            <w:vAlign w:val="center"/>
          </w:tcPr>
          <w:p w:rsidR="0032089F" w:rsidRPr="00C2575C" w:rsidRDefault="0032089F" w:rsidP="00FD6B6C">
            <w:pPr>
              <w:spacing w:after="0" w:line="240" w:lineRule="auto"/>
              <w:jc w:val="center"/>
              <w:rPr>
                <w:rFonts w:ascii="Times New Roman" w:hAnsi="Times New Roman"/>
                <w:b/>
                <w:lang w:eastAsia="ru-RU"/>
              </w:rPr>
            </w:pPr>
            <w:r w:rsidRPr="00C2575C">
              <w:rPr>
                <w:rFonts w:ascii="Times New Roman" w:hAnsi="Times New Roman"/>
                <w:b/>
                <w:lang w:eastAsia="ru-RU"/>
              </w:rPr>
              <w:t>НДС %</w:t>
            </w:r>
          </w:p>
        </w:tc>
        <w:tc>
          <w:tcPr>
            <w:tcW w:w="1065" w:type="dxa"/>
            <w:shd w:val="clear" w:color="auto" w:fill="FFFFCC"/>
            <w:vAlign w:val="center"/>
          </w:tcPr>
          <w:p w:rsidR="0032089F" w:rsidRPr="00C2575C" w:rsidRDefault="0032089F" w:rsidP="00FD6B6C">
            <w:pPr>
              <w:spacing w:after="0" w:line="240" w:lineRule="auto"/>
              <w:jc w:val="center"/>
              <w:rPr>
                <w:rFonts w:ascii="Times New Roman" w:hAnsi="Times New Roman"/>
                <w:b/>
                <w:lang w:eastAsia="ru-RU"/>
              </w:rPr>
            </w:pPr>
            <w:r w:rsidRPr="00C2575C">
              <w:rPr>
                <w:rFonts w:ascii="Times New Roman" w:hAnsi="Times New Roman"/>
                <w:b/>
                <w:lang w:eastAsia="ru-RU"/>
              </w:rPr>
              <w:t xml:space="preserve">Цена за ед. </w:t>
            </w:r>
            <w:r>
              <w:rPr>
                <w:rFonts w:ascii="Times New Roman" w:hAnsi="Times New Roman"/>
                <w:b/>
                <w:lang w:eastAsia="ru-RU"/>
              </w:rPr>
              <w:t>с</w:t>
            </w:r>
            <w:r w:rsidRPr="00C2575C">
              <w:rPr>
                <w:rFonts w:ascii="Times New Roman" w:hAnsi="Times New Roman"/>
                <w:b/>
                <w:lang w:eastAsia="ru-RU"/>
              </w:rPr>
              <w:t xml:space="preserve"> НДС (руб.)</w:t>
            </w:r>
          </w:p>
        </w:tc>
        <w:tc>
          <w:tcPr>
            <w:tcW w:w="1517" w:type="dxa"/>
            <w:shd w:val="clear" w:color="auto" w:fill="FFFFCC"/>
            <w:vAlign w:val="center"/>
          </w:tcPr>
          <w:p w:rsidR="0032089F" w:rsidRPr="00C2575C" w:rsidRDefault="0032089F" w:rsidP="00FD6B6C">
            <w:pPr>
              <w:spacing w:after="0" w:line="240" w:lineRule="auto"/>
              <w:jc w:val="center"/>
              <w:rPr>
                <w:rFonts w:ascii="Times New Roman" w:hAnsi="Times New Roman"/>
                <w:b/>
                <w:lang w:eastAsia="ru-RU"/>
              </w:rPr>
            </w:pPr>
            <w:r w:rsidRPr="00C2575C">
              <w:rPr>
                <w:rFonts w:ascii="Times New Roman" w:hAnsi="Times New Roman"/>
                <w:b/>
                <w:lang w:eastAsia="ru-RU"/>
              </w:rPr>
              <w:t xml:space="preserve">Сумма </w:t>
            </w:r>
            <w:r>
              <w:rPr>
                <w:rFonts w:ascii="Times New Roman" w:hAnsi="Times New Roman"/>
                <w:b/>
                <w:lang w:eastAsia="ru-RU"/>
              </w:rPr>
              <w:t>с</w:t>
            </w:r>
            <w:r w:rsidRPr="00C2575C">
              <w:rPr>
                <w:rFonts w:ascii="Times New Roman" w:hAnsi="Times New Roman"/>
                <w:b/>
                <w:lang w:eastAsia="ru-RU"/>
              </w:rPr>
              <w:t xml:space="preserve"> НДС (руб.)</w:t>
            </w:r>
          </w:p>
        </w:tc>
      </w:tr>
      <w:tr w:rsidR="0032089F" w:rsidRPr="000E0FFD" w:rsidTr="00FD6B6C">
        <w:trPr>
          <w:trHeight w:val="20"/>
          <w:jc w:val="center"/>
        </w:trPr>
        <w:tc>
          <w:tcPr>
            <w:tcW w:w="639" w:type="dxa"/>
          </w:tcPr>
          <w:p w:rsidR="0032089F" w:rsidRPr="000E0FFD" w:rsidRDefault="0032089F" w:rsidP="00FD6B6C">
            <w:pPr>
              <w:pStyle w:val="a7"/>
              <w:numPr>
                <w:ilvl w:val="0"/>
                <w:numId w:val="20"/>
              </w:numPr>
              <w:spacing w:after="0" w:line="240" w:lineRule="auto"/>
              <w:ind w:left="139" w:hanging="283"/>
              <w:jc w:val="center"/>
              <w:rPr>
                <w:rFonts w:ascii="Times New Roman" w:hAnsi="Times New Roman"/>
                <w:lang w:eastAsia="ru-RU"/>
              </w:rPr>
            </w:pPr>
          </w:p>
        </w:tc>
        <w:tc>
          <w:tcPr>
            <w:tcW w:w="1970" w:type="dxa"/>
          </w:tcPr>
          <w:p w:rsidR="0032089F" w:rsidRPr="00A70130" w:rsidRDefault="0032089F" w:rsidP="00FD6B6C">
            <w:pPr>
              <w:spacing w:after="0" w:line="240" w:lineRule="auto"/>
              <w:jc w:val="center"/>
              <w:rPr>
                <w:rFonts w:ascii="Times New Roman" w:hAnsi="Times New Roman" w:cs="Times New Roman"/>
                <w:lang w:eastAsia="ru-RU"/>
              </w:rPr>
            </w:pPr>
            <w:r w:rsidRPr="00A70130">
              <w:rPr>
                <w:rFonts w:ascii="Times New Roman" w:hAnsi="Times New Roman" w:cs="Times New Roman"/>
                <w:lang w:eastAsia="ru-RU"/>
              </w:rPr>
              <w:t>Антитела к  CD13</w:t>
            </w:r>
          </w:p>
        </w:tc>
        <w:tc>
          <w:tcPr>
            <w:tcW w:w="5538" w:type="dxa"/>
          </w:tcPr>
          <w:p w:rsidR="0032089F" w:rsidRPr="00801649" w:rsidRDefault="0032089F" w:rsidP="00FD6B6C">
            <w:pPr>
              <w:spacing w:after="0" w:line="240" w:lineRule="auto"/>
              <w:rPr>
                <w:rFonts w:ascii="Times New Roman" w:hAnsi="Times New Roman" w:cs="Times New Roman"/>
                <w:lang w:eastAsia="ru-RU"/>
              </w:rPr>
            </w:pPr>
            <w:r w:rsidRPr="007224CC">
              <w:rPr>
                <w:rFonts w:ascii="Times New Roman" w:hAnsi="Times New Roman" w:cs="Times New Roman"/>
                <w:lang w:eastAsia="ru-RU"/>
              </w:rPr>
              <w:t>Моноклональные  кроличьи антитела к CD13, для иммуногистохимических исследований на парафиновых срезах, клон SP187, готовая к использованию форма, объем не менее 7 мл, для использования в иммуностейнере Bond-maX</w:t>
            </w:r>
            <w:r>
              <w:rPr>
                <w:rFonts w:ascii="Times New Roman" w:hAnsi="Times New Roman" w:cs="Times New Roman"/>
                <w:lang w:eastAsia="ru-RU"/>
              </w:rPr>
              <w:t>, имеющимся у заказчика.</w:t>
            </w:r>
          </w:p>
        </w:tc>
        <w:tc>
          <w:tcPr>
            <w:tcW w:w="772" w:type="dxa"/>
          </w:tcPr>
          <w:p w:rsidR="0032089F" w:rsidRPr="00801649" w:rsidRDefault="0032089F"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030" w:type="dxa"/>
          </w:tcPr>
          <w:p w:rsidR="0032089F" w:rsidRPr="00801649" w:rsidRDefault="0032089F" w:rsidP="0032089F">
            <w:pPr>
              <w:spacing w:after="0" w:line="240" w:lineRule="auto"/>
              <w:jc w:val="center"/>
              <w:rPr>
                <w:rFonts w:ascii="Times New Roman" w:hAnsi="Times New Roman" w:cs="Times New Roman"/>
                <w:szCs w:val="26"/>
              </w:rPr>
            </w:pPr>
            <w:r>
              <w:rPr>
                <w:rFonts w:ascii="Times New Roman" w:hAnsi="Times New Roman" w:cs="Times New Roman"/>
                <w:szCs w:val="26"/>
              </w:rPr>
              <w:t>шт</w:t>
            </w:r>
          </w:p>
        </w:tc>
        <w:tc>
          <w:tcPr>
            <w:tcW w:w="1572" w:type="dxa"/>
          </w:tcPr>
          <w:p w:rsidR="0032089F" w:rsidRPr="00801649" w:rsidRDefault="0032089F"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21.20.23.110</w:t>
            </w:r>
          </w:p>
        </w:tc>
        <w:tc>
          <w:tcPr>
            <w:tcW w:w="1541" w:type="dxa"/>
            <w:shd w:val="clear" w:color="auto" w:fill="FFFFCC"/>
          </w:tcPr>
          <w:p w:rsidR="0032089F" w:rsidRPr="000E0FFD" w:rsidRDefault="0032089F" w:rsidP="00FD6B6C">
            <w:pPr>
              <w:spacing w:after="0" w:line="240" w:lineRule="auto"/>
              <w:jc w:val="center"/>
              <w:rPr>
                <w:rFonts w:ascii="Times New Roman" w:hAnsi="Times New Roman"/>
                <w:lang w:eastAsia="ru-RU"/>
              </w:rPr>
            </w:pPr>
          </w:p>
        </w:tc>
        <w:tc>
          <w:tcPr>
            <w:tcW w:w="771" w:type="dxa"/>
            <w:shd w:val="clear" w:color="auto" w:fill="FFFFCC"/>
          </w:tcPr>
          <w:p w:rsidR="0032089F" w:rsidRPr="000E0FFD" w:rsidRDefault="0032089F" w:rsidP="00FD6B6C">
            <w:pPr>
              <w:spacing w:after="0" w:line="240" w:lineRule="auto"/>
              <w:jc w:val="center"/>
              <w:rPr>
                <w:rFonts w:ascii="Times New Roman" w:hAnsi="Times New Roman"/>
                <w:lang w:eastAsia="ru-RU"/>
              </w:rPr>
            </w:pPr>
          </w:p>
        </w:tc>
        <w:tc>
          <w:tcPr>
            <w:tcW w:w="1065" w:type="dxa"/>
            <w:shd w:val="clear" w:color="auto" w:fill="FFFFCC"/>
          </w:tcPr>
          <w:p w:rsidR="0032089F" w:rsidRPr="000E0FFD" w:rsidRDefault="0032089F" w:rsidP="00FD6B6C">
            <w:pPr>
              <w:spacing w:after="0" w:line="240" w:lineRule="auto"/>
              <w:jc w:val="center"/>
              <w:rPr>
                <w:rFonts w:ascii="Times New Roman" w:hAnsi="Times New Roman"/>
                <w:lang w:eastAsia="ru-RU"/>
              </w:rPr>
            </w:pPr>
          </w:p>
        </w:tc>
        <w:tc>
          <w:tcPr>
            <w:tcW w:w="1517" w:type="dxa"/>
            <w:shd w:val="clear" w:color="auto" w:fill="FFFFCC"/>
          </w:tcPr>
          <w:p w:rsidR="0032089F" w:rsidRPr="000E0FFD" w:rsidRDefault="0032089F" w:rsidP="00FD6B6C">
            <w:pPr>
              <w:spacing w:after="0" w:line="240" w:lineRule="auto"/>
              <w:jc w:val="center"/>
              <w:rPr>
                <w:rFonts w:ascii="Times New Roman" w:hAnsi="Times New Roman"/>
                <w:lang w:eastAsia="ru-RU"/>
              </w:rPr>
            </w:pPr>
          </w:p>
        </w:tc>
      </w:tr>
      <w:tr w:rsidR="0032089F" w:rsidRPr="000E0FFD" w:rsidTr="00FD6B6C">
        <w:trPr>
          <w:trHeight w:val="20"/>
          <w:jc w:val="center"/>
        </w:trPr>
        <w:tc>
          <w:tcPr>
            <w:tcW w:w="639" w:type="dxa"/>
          </w:tcPr>
          <w:p w:rsidR="0032089F" w:rsidRPr="000E0FFD" w:rsidRDefault="0032089F" w:rsidP="00FD6B6C">
            <w:pPr>
              <w:pStyle w:val="a7"/>
              <w:numPr>
                <w:ilvl w:val="0"/>
                <w:numId w:val="20"/>
              </w:numPr>
              <w:spacing w:after="0" w:line="240" w:lineRule="auto"/>
              <w:ind w:left="139" w:hanging="283"/>
              <w:jc w:val="center"/>
              <w:rPr>
                <w:rFonts w:ascii="Times New Roman" w:hAnsi="Times New Roman"/>
                <w:lang w:eastAsia="ru-RU"/>
              </w:rPr>
            </w:pPr>
          </w:p>
        </w:tc>
        <w:tc>
          <w:tcPr>
            <w:tcW w:w="1970" w:type="dxa"/>
          </w:tcPr>
          <w:p w:rsidR="0032089F" w:rsidRPr="00A70130" w:rsidRDefault="0032089F" w:rsidP="00FD6B6C">
            <w:pPr>
              <w:spacing w:after="0" w:line="240" w:lineRule="auto"/>
              <w:jc w:val="center"/>
              <w:rPr>
                <w:rFonts w:ascii="Times New Roman" w:hAnsi="Times New Roman" w:cs="Times New Roman"/>
                <w:lang w:eastAsia="ru-RU"/>
              </w:rPr>
            </w:pPr>
            <w:r w:rsidRPr="00A70130">
              <w:rPr>
                <w:rFonts w:ascii="Times New Roman" w:hAnsi="Times New Roman" w:cs="Times New Roman"/>
                <w:lang w:eastAsia="ru-RU"/>
              </w:rPr>
              <w:t>Антитела к  CD138</w:t>
            </w:r>
          </w:p>
        </w:tc>
        <w:tc>
          <w:tcPr>
            <w:tcW w:w="5538" w:type="dxa"/>
          </w:tcPr>
          <w:p w:rsidR="0032089F" w:rsidRPr="007224CC" w:rsidRDefault="0032089F" w:rsidP="00FD6B6C">
            <w:pPr>
              <w:spacing w:after="0" w:line="240" w:lineRule="auto"/>
              <w:rPr>
                <w:rFonts w:ascii="Times New Roman" w:hAnsi="Times New Roman" w:cs="Times New Roman"/>
                <w:lang w:eastAsia="ru-RU"/>
              </w:rPr>
            </w:pPr>
            <w:r w:rsidRPr="007224CC">
              <w:rPr>
                <w:rFonts w:ascii="Times New Roman" w:hAnsi="Times New Roman" w:cs="Times New Roman"/>
                <w:lang w:eastAsia="ru-RU"/>
              </w:rPr>
              <w:t>Моноклональные мышиные антитела к CD138, для иммуногистохимических исследований на парафиновых срезах, клон MI15, готовая к использованию форма, объем не менее 7 мл, для использования в иммуностейнере Bond-maX</w:t>
            </w:r>
            <w:r>
              <w:rPr>
                <w:rFonts w:ascii="Times New Roman" w:hAnsi="Times New Roman" w:cs="Times New Roman"/>
                <w:lang w:eastAsia="ru-RU"/>
              </w:rPr>
              <w:t>, имеющимся у заказчика.</w:t>
            </w:r>
          </w:p>
        </w:tc>
        <w:tc>
          <w:tcPr>
            <w:tcW w:w="772" w:type="dxa"/>
          </w:tcPr>
          <w:p w:rsidR="0032089F" w:rsidRPr="00801649" w:rsidRDefault="0032089F"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030" w:type="dxa"/>
          </w:tcPr>
          <w:p w:rsidR="0032089F" w:rsidRPr="00801649" w:rsidRDefault="0032089F" w:rsidP="0032089F">
            <w:pPr>
              <w:spacing w:after="0" w:line="240" w:lineRule="auto"/>
              <w:jc w:val="center"/>
              <w:rPr>
                <w:rFonts w:ascii="Times New Roman" w:hAnsi="Times New Roman" w:cs="Times New Roman"/>
                <w:szCs w:val="26"/>
              </w:rPr>
            </w:pPr>
            <w:r>
              <w:rPr>
                <w:rFonts w:ascii="Times New Roman" w:hAnsi="Times New Roman" w:cs="Times New Roman"/>
                <w:szCs w:val="26"/>
              </w:rPr>
              <w:t>шт</w:t>
            </w:r>
          </w:p>
        </w:tc>
        <w:tc>
          <w:tcPr>
            <w:tcW w:w="1572" w:type="dxa"/>
          </w:tcPr>
          <w:p w:rsidR="0032089F" w:rsidRPr="00801649" w:rsidRDefault="0032089F"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21.20.23.110</w:t>
            </w:r>
          </w:p>
        </w:tc>
        <w:tc>
          <w:tcPr>
            <w:tcW w:w="1541" w:type="dxa"/>
            <w:shd w:val="clear" w:color="auto" w:fill="FFFFCC"/>
          </w:tcPr>
          <w:p w:rsidR="0032089F" w:rsidRPr="000E0FFD" w:rsidRDefault="0032089F" w:rsidP="00FD6B6C">
            <w:pPr>
              <w:spacing w:after="0" w:line="240" w:lineRule="auto"/>
              <w:jc w:val="center"/>
              <w:rPr>
                <w:rFonts w:ascii="Times New Roman" w:hAnsi="Times New Roman"/>
                <w:lang w:eastAsia="ru-RU"/>
              </w:rPr>
            </w:pPr>
          </w:p>
        </w:tc>
        <w:tc>
          <w:tcPr>
            <w:tcW w:w="771" w:type="dxa"/>
            <w:shd w:val="clear" w:color="auto" w:fill="FFFFCC"/>
          </w:tcPr>
          <w:p w:rsidR="0032089F" w:rsidRPr="000E0FFD" w:rsidRDefault="0032089F" w:rsidP="00FD6B6C">
            <w:pPr>
              <w:spacing w:after="0" w:line="240" w:lineRule="auto"/>
              <w:jc w:val="center"/>
              <w:rPr>
                <w:rFonts w:ascii="Times New Roman" w:hAnsi="Times New Roman"/>
                <w:lang w:eastAsia="ru-RU"/>
              </w:rPr>
            </w:pPr>
          </w:p>
        </w:tc>
        <w:tc>
          <w:tcPr>
            <w:tcW w:w="1065" w:type="dxa"/>
            <w:shd w:val="clear" w:color="auto" w:fill="FFFFCC"/>
          </w:tcPr>
          <w:p w:rsidR="0032089F" w:rsidRPr="000E0FFD" w:rsidRDefault="0032089F" w:rsidP="00FD6B6C">
            <w:pPr>
              <w:spacing w:after="0" w:line="240" w:lineRule="auto"/>
              <w:jc w:val="center"/>
              <w:rPr>
                <w:rFonts w:ascii="Times New Roman" w:hAnsi="Times New Roman"/>
                <w:lang w:eastAsia="ru-RU"/>
              </w:rPr>
            </w:pPr>
          </w:p>
        </w:tc>
        <w:tc>
          <w:tcPr>
            <w:tcW w:w="1517" w:type="dxa"/>
            <w:shd w:val="clear" w:color="auto" w:fill="FFFFCC"/>
          </w:tcPr>
          <w:p w:rsidR="0032089F" w:rsidRPr="000E0FFD" w:rsidRDefault="0032089F" w:rsidP="00FD6B6C">
            <w:pPr>
              <w:spacing w:after="0" w:line="240" w:lineRule="auto"/>
              <w:jc w:val="center"/>
              <w:rPr>
                <w:rFonts w:ascii="Times New Roman" w:hAnsi="Times New Roman"/>
                <w:lang w:eastAsia="ru-RU"/>
              </w:rPr>
            </w:pPr>
          </w:p>
        </w:tc>
      </w:tr>
      <w:tr w:rsidR="0032089F" w:rsidRPr="000E0FFD" w:rsidTr="00FD6B6C">
        <w:trPr>
          <w:trHeight w:val="20"/>
          <w:jc w:val="center"/>
        </w:trPr>
        <w:tc>
          <w:tcPr>
            <w:tcW w:w="639" w:type="dxa"/>
          </w:tcPr>
          <w:p w:rsidR="0032089F" w:rsidRPr="000E0FFD" w:rsidRDefault="0032089F" w:rsidP="00FD6B6C">
            <w:pPr>
              <w:pStyle w:val="a7"/>
              <w:numPr>
                <w:ilvl w:val="0"/>
                <w:numId w:val="20"/>
              </w:numPr>
              <w:spacing w:after="0" w:line="240" w:lineRule="auto"/>
              <w:ind w:left="139" w:hanging="283"/>
              <w:jc w:val="center"/>
              <w:rPr>
                <w:rFonts w:ascii="Times New Roman" w:hAnsi="Times New Roman"/>
                <w:lang w:eastAsia="ru-RU"/>
              </w:rPr>
            </w:pPr>
          </w:p>
        </w:tc>
        <w:tc>
          <w:tcPr>
            <w:tcW w:w="1970" w:type="dxa"/>
          </w:tcPr>
          <w:p w:rsidR="0032089F" w:rsidRPr="00A70130" w:rsidRDefault="0032089F" w:rsidP="00FD6B6C">
            <w:pPr>
              <w:spacing w:after="0" w:line="240" w:lineRule="auto"/>
              <w:jc w:val="center"/>
              <w:rPr>
                <w:rFonts w:ascii="Times New Roman" w:hAnsi="Times New Roman" w:cs="Times New Roman"/>
                <w:lang w:eastAsia="ru-RU"/>
              </w:rPr>
            </w:pPr>
            <w:r w:rsidRPr="00A70130">
              <w:rPr>
                <w:rFonts w:ascii="Times New Roman" w:hAnsi="Times New Roman" w:cs="Times New Roman"/>
                <w:lang w:eastAsia="ru-RU"/>
              </w:rPr>
              <w:t>Галектин-3 ИВД, антитела</w:t>
            </w:r>
          </w:p>
        </w:tc>
        <w:tc>
          <w:tcPr>
            <w:tcW w:w="5538" w:type="dxa"/>
          </w:tcPr>
          <w:p w:rsidR="0032089F" w:rsidRPr="007224CC" w:rsidRDefault="0032089F" w:rsidP="00FD6B6C">
            <w:pPr>
              <w:spacing w:after="0" w:line="240" w:lineRule="auto"/>
              <w:rPr>
                <w:rFonts w:ascii="Times New Roman" w:hAnsi="Times New Roman" w:cs="Times New Roman"/>
                <w:lang w:eastAsia="ru-RU"/>
              </w:rPr>
            </w:pPr>
            <w:r w:rsidRPr="007224CC">
              <w:rPr>
                <w:rFonts w:ascii="Times New Roman" w:hAnsi="Times New Roman" w:cs="Times New Roman"/>
                <w:lang w:eastAsia="ru-RU"/>
              </w:rPr>
              <w:t>Метод: Иммуногистохимия</w:t>
            </w:r>
          </w:p>
          <w:p w:rsidR="0032089F" w:rsidRPr="007224CC" w:rsidRDefault="0032089F" w:rsidP="00FD6B6C">
            <w:pPr>
              <w:spacing w:after="0" w:line="240" w:lineRule="auto"/>
              <w:rPr>
                <w:rFonts w:ascii="Times New Roman" w:hAnsi="Times New Roman" w:cs="Times New Roman"/>
                <w:lang w:eastAsia="ru-RU"/>
              </w:rPr>
            </w:pPr>
            <w:r w:rsidRPr="007224CC">
              <w:rPr>
                <w:rFonts w:ascii="Times New Roman" w:hAnsi="Times New Roman" w:cs="Times New Roman"/>
                <w:lang w:eastAsia="ru-RU"/>
              </w:rPr>
              <w:t xml:space="preserve">Объем реагента: </w:t>
            </w:r>
            <w:r>
              <w:rPr>
                <w:rFonts w:ascii="Roboto" w:hAnsi="Roboto"/>
                <w:color w:val="334059"/>
                <w:sz w:val="21"/>
                <w:szCs w:val="21"/>
              </w:rPr>
              <w:t xml:space="preserve">≥ 1  </w:t>
            </w:r>
            <w:r w:rsidRPr="007224CC">
              <w:rPr>
                <w:rFonts w:ascii="Times New Roman" w:hAnsi="Times New Roman" w:cs="Times New Roman"/>
                <w:lang w:eastAsia="ru-RU"/>
              </w:rPr>
              <w:t>Кубический сантиметр;^миллилитр</w:t>
            </w:r>
          </w:p>
          <w:p w:rsidR="0032089F" w:rsidRDefault="0032089F" w:rsidP="00FD6B6C">
            <w:pPr>
              <w:spacing w:after="0" w:line="240" w:lineRule="auto"/>
              <w:rPr>
                <w:rFonts w:ascii="Times New Roman" w:hAnsi="Times New Roman" w:cs="Times New Roman"/>
                <w:lang w:eastAsia="ru-RU"/>
              </w:rPr>
            </w:pPr>
            <w:r w:rsidRPr="007224CC">
              <w:rPr>
                <w:rFonts w:ascii="Times New Roman" w:hAnsi="Times New Roman" w:cs="Times New Roman"/>
                <w:lang w:eastAsia="ru-RU"/>
              </w:rPr>
              <w:t>Форма выпуска: Готовые к использованию</w:t>
            </w:r>
          </w:p>
          <w:p w:rsidR="0032089F" w:rsidRDefault="0032089F" w:rsidP="00FD6B6C">
            <w:pPr>
              <w:spacing w:after="0" w:line="240" w:lineRule="auto"/>
              <w:rPr>
                <w:rFonts w:ascii="Times New Roman" w:hAnsi="Times New Roman" w:cs="Times New Roman"/>
                <w:b/>
                <w:u w:val="single"/>
                <w:lang w:eastAsia="ru-RU"/>
              </w:rPr>
            </w:pPr>
            <w:r w:rsidRPr="007224CC">
              <w:rPr>
                <w:rFonts w:ascii="Times New Roman" w:hAnsi="Times New Roman" w:cs="Times New Roman"/>
                <w:b/>
                <w:u w:val="single"/>
                <w:lang w:eastAsia="ru-RU"/>
              </w:rPr>
              <w:t xml:space="preserve">Дополнительные характеристики* </w:t>
            </w:r>
          </w:p>
          <w:p w:rsidR="0032089F" w:rsidRPr="007224CC" w:rsidRDefault="0032089F" w:rsidP="00FD6B6C">
            <w:pPr>
              <w:spacing w:after="0" w:line="240" w:lineRule="auto"/>
              <w:rPr>
                <w:rFonts w:ascii="Times New Roman" w:hAnsi="Times New Roman" w:cs="Times New Roman"/>
                <w:lang w:eastAsia="ru-RU"/>
              </w:rPr>
            </w:pPr>
            <w:r w:rsidRPr="007224CC">
              <w:rPr>
                <w:rFonts w:ascii="Times New Roman" w:hAnsi="Times New Roman" w:cs="Times New Roman"/>
                <w:lang w:eastAsia="ru-RU"/>
              </w:rPr>
              <w:t>Моноклональные мышиные антитела к галектину-3, для иммуногистохимических исследований на парафиновых срезах, клон 9C4, для использования в иммуностейнере Bond-maX</w:t>
            </w:r>
            <w:r>
              <w:rPr>
                <w:rFonts w:ascii="Times New Roman" w:hAnsi="Times New Roman" w:cs="Times New Roman"/>
                <w:lang w:eastAsia="ru-RU"/>
              </w:rPr>
              <w:t>, имеющимся у заказчика.</w:t>
            </w:r>
          </w:p>
        </w:tc>
        <w:tc>
          <w:tcPr>
            <w:tcW w:w="772" w:type="dxa"/>
          </w:tcPr>
          <w:p w:rsidR="0032089F" w:rsidRDefault="0032089F"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030" w:type="dxa"/>
          </w:tcPr>
          <w:p w:rsidR="0032089F" w:rsidRDefault="0032089F" w:rsidP="00FD6B6C">
            <w:pPr>
              <w:spacing w:after="0" w:line="240" w:lineRule="auto"/>
              <w:jc w:val="center"/>
              <w:rPr>
                <w:rFonts w:ascii="Times New Roman" w:hAnsi="Times New Roman" w:cs="Times New Roman"/>
                <w:szCs w:val="26"/>
              </w:rPr>
            </w:pPr>
            <w:r>
              <w:rPr>
                <w:rFonts w:ascii="Times New Roman" w:hAnsi="Times New Roman" w:cs="Times New Roman"/>
                <w:szCs w:val="26"/>
              </w:rPr>
              <w:t>упак</w:t>
            </w:r>
          </w:p>
        </w:tc>
        <w:tc>
          <w:tcPr>
            <w:tcW w:w="1572" w:type="dxa"/>
          </w:tcPr>
          <w:p w:rsidR="0032089F" w:rsidRDefault="0032089F" w:rsidP="00FD6B6C">
            <w:pPr>
              <w:spacing w:after="0" w:line="240" w:lineRule="auto"/>
              <w:jc w:val="center"/>
              <w:rPr>
                <w:rFonts w:ascii="Times New Roman" w:hAnsi="Times New Roman"/>
                <w:sz w:val="20"/>
                <w:szCs w:val="20"/>
                <w:lang w:eastAsia="ru-RU"/>
              </w:rPr>
            </w:pPr>
            <w:r w:rsidRPr="007224CC">
              <w:rPr>
                <w:rFonts w:ascii="Times New Roman" w:hAnsi="Times New Roman"/>
                <w:sz w:val="20"/>
                <w:szCs w:val="20"/>
                <w:lang w:eastAsia="ru-RU"/>
              </w:rPr>
              <w:t>21.20.23.110-00004890</w:t>
            </w:r>
          </w:p>
        </w:tc>
        <w:tc>
          <w:tcPr>
            <w:tcW w:w="1541" w:type="dxa"/>
            <w:shd w:val="clear" w:color="auto" w:fill="FFFFCC"/>
          </w:tcPr>
          <w:p w:rsidR="0032089F" w:rsidRPr="000E0FFD" w:rsidRDefault="0032089F" w:rsidP="00FD6B6C">
            <w:pPr>
              <w:spacing w:after="0" w:line="240" w:lineRule="auto"/>
              <w:jc w:val="center"/>
              <w:rPr>
                <w:rFonts w:ascii="Times New Roman" w:hAnsi="Times New Roman"/>
                <w:lang w:eastAsia="ru-RU"/>
              </w:rPr>
            </w:pPr>
          </w:p>
        </w:tc>
        <w:tc>
          <w:tcPr>
            <w:tcW w:w="771" w:type="dxa"/>
            <w:shd w:val="clear" w:color="auto" w:fill="FFFFCC"/>
          </w:tcPr>
          <w:p w:rsidR="0032089F" w:rsidRPr="000E0FFD" w:rsidRDefault="0032089F" w:rsidP="00FD6B6C">
            <w:pPr>
              <w:spacing w:after="0" w:line="240" w:lineRule="auto"/>
              <w:jc w:val="center"/>
              <w:rPr>
                <w:rFonts w:ascii="Times New Roman" w:hAnsi="Times New Roman"/>
                <w:lang w:eastAsia="ru-RU"/>
              </w:rPr>
            </w:pPr>
          </w:p>
        </w:tc>
        <w:tc>
          <w:tcPr>
            <w:tcW w:w="1065" w:type="dxa"/>
            <w:shd w:val="clear" w:color="auto" w:fill="FFFFCC"/>
          </w:tcPr>
          <w:p w:rsidR="0032089F" w:rsidRPr="000E0FFD" w:rsidRDefault="0032089F" w:rsidP="00FD6B6C">
            <w:pPr>
              <w:spacing w:after="0" w:line="240" w:lineRule="auto"/>
              <w:jc w:val="center"/>
              <w:rPr>
                <w:rFonts w:ascii="Times New Roman" w:hAnsi="Times New Roman"/>
                <w:lang w:eastAsia="ru-RU"/>
              </w:rPr>
            </w:pPr>
          </w:p>
        </w:tc>
        <w:tc>
          <w:tcPr>
            <w:tcW w:w="1517" w:type="dxa"/>
            <w:shd w:val="clear" w:color="auto" w:fill="FFFFCC"/>
          </w:tcPr>
          <w:p w:rsidR="0032089F" w:rsidRPr="000E0FFD" w:rsidRDefault="0032089F" w:rsidP="00FD6B6C">
            <w:pPr>
              <w:spacing w:after="0" w:line="240" w:lineRule="auto"/>
              <w:jc w:val="center"/>
              <w:rPr>
                <w:rFonts w:ascii="Times New Roman" w:hAnsi="Times New Roman"/>
                <w:lang w:eastAsia="ru-RU"/>
              </w:rPr>
            </w:pPr>
          </w:p>
        </w:tc>
      </w:tr>
      <w:tr w:rsidR="0032089F" w:rsidRPr="000E0FFD" w:rsidTr="00FD6B6C">
        <w:trPr>
          <w:trHeight w:val="20"/>
          <w:jc w:val="center"/>
        </w:trPr>
        <w:tc>
          <w:tcPr>
            <w:tcW w:w="639" w:type="dxa"/>
          </w:tcPr>
          <w:p w:rsidR="0032089F" w:rsidRPr="000E0FFD" w:rsidRDefault="0032089F" w:rsidP="00FD6B6C">
            <w:pPr>
              <w:pStyle w:val="a7"/>
              <w:numPr>
                <w:ilvl w:val="0"/>
                <w:numId w:val="20"/>
              </w:numPr>
              <w:spacing w:after="0" w:line="240" w:lineRule="auto"/>
              <w:ind w:left="139" w:hanging="283"/>
              <w:jc w:val="center"/>
              <w:rPr>
                <w:rFonts w:ascii="Times New Roman" w:hAnsi="Times New Roman"/>
                <w:lang w:eastAsia="ru-RU"/>
              </w:rPr>
            </w:pPr>
          </w:p>
        </w:tc>
        <w:tc>
          <w:tcPr>
            <w:tcW w:w="1970" w:type="dxa"/>
          </w:tcPr>
          <w:p w:rsidR="0032089F" w:rsidRPr="00A70130" w:rsidRDefault="0032089F" w:rsidP="00FD6B6C">
            <w:pPr>
              <w:spacing w:after="0" w:line="240" w:lineRule="auto"/>
              <w:jc w:val="center"/>
              <w:rPr>
                <w:rFonts w:ascii="Times New Roman" w:hAnsi="Times New Roman" w:cs="Times New Roman"/>
                <w:lang w:eastAsia="ru-RU"/>
              </w:rPr>
            </w:pPr>
            <w:r w:rsidRPr="00A70130">
              <w:rPr>
                <w:rFonts w:ascii="Times New Roman" w:hAnsi="Times New Roman" w:cs="Times New Roman"/>
                <w:lang w:eastAsia="ru-RU"/>
              </w:rPr>
              <w:t>Антитела к  маркеру меланомы</w:t>
            </w:r>
          </w:p>
        </w:tc>
        <w:tc>
          <w:tcPr>
            <w:tcW w:w="5538" w:type="dxa"/>
          </w:tcPr>
          <w:p w:rsidR="0032089F" w:rsidRPr="007224CC" w:rsidRDefault="0032089F" w:rsidP="00FD6B6C">
            <w:pPr>
              <w:spacing w:after="0" w:line="240" w:lineRule="auto"/>
              <w:rPr>
                <w:rFonts w:ascii="Times New Roman" w:hAnsi="Times New Roman" w:cs="Times New Roman"/>
                <w:lang w:eastAsia="ru-RU"/>
              </w:rPr>
            </w:pPr>
            <w:r w:rsidRPr="00234897">
              <w:rPr>
                <w:rFonts w:ascii="Times New Roman" w:hAnsi="Times New Roman" w:cs="Times New Roman"/>
                <w:lang w:eastAsia="ru-RU"/>
              </w:rPr>
              <w:t>Моноклональные мышиные антитела к маркеру меланомы (HMB-45),  для иммуногистохимических исследований на парафиновых срезах, клон HMB45, готовая к использованию форма, объем не менее 7 мл, для использования в иммуностейнере Bond-maX</w:t>
            </w:r>
            <w:r>
              <w:rPr>
                <w:rFonts w:ascii="Times New Roman" w:hAnsi="Times New Roman" w:cs="Times New Roman"/>
                <w:lang w:eastAsia="ru-RU"/>
              </w:rPr>
              <w:t>, имеющимся у заказчика.</w:t>
            </w:r>
          </w:p>
        </w:tc>
        <w:tc>
          <w:tcPr>
            <w:tcW w:w="772" w:type="dxa"/>
          </w:tcPr>
          <w:p w:rsidR="0032089F" w:rsidRPr="00801649" w:rsidRDefault="0032089F"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030" w:type="dxa"/>
          </w:tcPr>
          <w:p w:rsidR="0032089F" w:rsidRPr="00801649" w:rsidRDefault="0032089F" w:rsidP="0032089F">
            <w:pPr>
              <w:spacing w:after="0" w:line="240" w:lineRule="auto"/>
              <w:jc w:val="center"/>
              <w:rPr>
                <w:rFonts w:ascii="Times New Roman" w:hAnsi="Times New Roman" w:cs="Times New Roman"/>
                <w:szCs w:val="26"/>
              </w:rPr>
            </w:pPr>
            <w:r>
              <w:rPr>
                <w:rFonts w:ascii="Times New Roman" w:hAnsi="Times New Roman" w:cs="Times New Roman"/>
                <w:szCs w:val="26"/>
              </w:rPr>
              <w:t>шт</w:t>
            </w:r>
          </w:p>
        </w:tc>
        <w:tc>
          <w:tcPr>
            <w:tcW w:w="1572" w:type="dxa"/>
          </w:tcPr>
          <w:p w:rsidR="0032089F" w:rsidRPr="00801649" w:rsidRDefault="0032089F"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21.20.23.110</w:t>
            </w:r>
          </w:p>
        </w:tc>
        <w:tc>
          <w:tcPr>
            <w:tcW w:w="1541" w:type="dxa"/>
            <w:shd w:val="clear" w:color="auto" w:fill="FFFFCC"/>
          </w:tcPr>
          <w:p w:rsidR="0032089F" w:rsidRPr="000E0FFD" w:rsidRDefault="0032089F" w:rsidP="00FD6B6C">
            <w:pPr>
              <w:spacing w:after="0" w:line="240" w:lineRule="auto"/>
              <w:jc w:val="center"/>
              <w:rPr>
                <w:rFonts w:ascii="Times New Roman" w:hAnsi="Times New Roman"/>
                <w:lang w:eastAsia="ru-RU"/>
              </w:rPr>
            </w:pPr>
          </w:p>
        </w:tc>
        <w:tc>
          <w:tcPr>
            <w:tcW w:w="771" w:type="dxa"/>
            <w:shd w:val="clear" w:color="auto" w:fill="FFFFCC"/>
          </w:tcPr>
          <w:p w:rsidR="0032089F" w:rsidRPr="000E0FFD" w:rsidRDefault="0032089F" w:rsidP="00FD6B6C">
            <w:pPr>
              <w:spacing w:after="0" w:line="240" w:lineRule="auto"/>
              <w:jc w:val="center"/>
              <w:rPr>
                <w:rFonts w:ascii="Times New Roman" w:hAnsi="Times New Roman"/>
                <w:lang w:eastAsia="ru-RU"/>
              </w:rPr>
            </w:pPr>
          </w:p>
        </w:tc>
        <w:tc>
          <w:tcPr>
            <w:tcW w:w="1065" w:type="dxa"/>
            <w:shd w:val="clear" w:color="auto" w:fill="FFFFCC"/>
          </w:tcPr>
          <w:p w:rsidR="0032089F" w:rsidRPr="000E0FFD" w:rsidRDefault="0032089F" w:rsidP="00FD6B6C">
            <w:pPr>
              <w:spacing w:after="0" w:line="240" w:lineRule="auto"/>
              <w:jc w:val="center"/>
              <w:rPr>
                <w:rFonts w:ascii="Times New Roman" w:hAnsi="Times New Roman"/>
                <w:lang w:eastAsia="ru-RU"/>
              </w:rPr>
            </w:pPr>
          </w:p>
        </w:tc>
        <w:tc>
          <w:tcPr>
            <w:tcW w:w="1517" w:type="dxa"/>
            <w:shd w:val="clear" w:color="auto" w:fill="FFFFCC"/>
          </w:tcPr>
          <w:p w:rsidR="0032089F" w:rsidRPr="000E0FFD" w:rsidRDefault="0032089F" w:rsidP="00FD6B6C">
            <w:pPr>
              <w:spacing w:after="0" w:line="240" w:lineRule="auto"/>
              <w:jc w:val="center"/>
              <w:rPr>
                <w:rFonts w:ascii="Times New Roman" w:hAnsi="Times New Roman"/>
                <w:lang w:eastAsia="ru-RU"/>
              </w:rPr>
            </w:pPr>
          </w:p>
        </w:tc>
      </w:tr>
      <w:tr w:rsidR="0032089F" w:rsidRPr="000E0FFD" w:rsidTr="00FD6B6C">
        <w:trPr>
          <w:trHeight w:val="20"/>
          <w:jc w:val="center"/>
        </w:trPr>
        <w:tc>
          <w:tcPr>
            <w:tcW w:w="639" w:type="dxa"/>
          </w:tcPr>
          <w:p w:rsidR="0032089F" w:rsidRPr="000E0FFD" w:rsidRDefault="0032089F" w:rsidP="00FD6B6C">
            <w:pPr>
              <w:pStyle w:val="a7"/>
              <w:numPr>
                <w:ilvl w:val="0"/>
                <w:numId w:val="20"/>
              </w:numPr>
              <w:spacing w:after="0" w:line="240" w:lineRule="auto"/>
              <w:ind w:left="139" w:hanging="283"/>
              <w:jc w:val="center"/>
              <w:rPr>
                <w:rFonts w:ascii="Times New Roman" w:hAnsi="Times New Roman"/>
                <w:lang w:eastAsia="ru-RU"/>
              </w:rPr>
            </w:pPr>
          </w:p>
        </w:tc>
        <w:tc>
          <w:tcPr>
            <w:tcW w:w="1970" w:type="dxa"/>
          </w:tcPr>
          <w:p w:rsidR="0032089F" w:rsidRPr="00A70130" w:rsidRDefault="0032089F" w:rsidP="00FD6B6C">
            <w:pPr>
              <w:spacing w:after="0" w:line="240" w:lineRule="auto"/>
              <w:jc w:val="center"/>
              <w:rPr>
                <w:rFonts w:ascii="Times New Roman" w:hAnsi="Times New Roman" w:cs="Times New Roman"/>
                <w:lang w:eastAsia="ru-RU"/>
              </w:rPr>
            </w:pPr>
            <w:r w:rsidRPr="00A70130">
              <w:rPr>
                <w:rFonts w:ascii="Times New Roman" w:hAnsi="Times New Roman" w:cs="Times New Roman"/>
                <w:lang w:eastAsia="ru-RU"/>
              </w:rPr>
              <w:t>Муцин ИВД, набор, иммуногистохимическая реакция с ферментативной меткой</w:t>
            </w:r>
          </w:p>
        </w:tc>
        <w:tc>
          <w:tcPr>
            <w:tcW w:w="5538" w:type="dxa"/>
          </w:tcPr>
          <w:p w:rsidR="0032089F" w:rsidRDefault="0032089F" w:rsidP="00FD6B6C">
            <w:pPr>
              <w:spacing w:after="0" w:line="240" w:lineRule="auto"/>
              <w:rPr>
                <w:rFonts w:ascii="Times New Roman" w:hAnsi="Times New Roman" w:cs="Times New Roman"/>
                <w:lang w:eastAsia="ru-RU"/>
              </w:rPr>
            </w:pPr>
            <w:r>
              <w:rPr>
                <w:rFonts w:ascii="Times New Roman" w:hAnsi="Times New Roman" w:cs="Times New Roman"/>
                <w:lang w:eastAsia="ru-RU"/>
              </w:rPr>
              <w:t xml:space="preserve">Назначение: </w:t>
            </w:r>
            <w:r w:rsidRPr="00DE021F">
              <w:rPr>
                <w:rFonts w:ascii="Times New Roman" w:hAnsi="Times New Roman" w:cs="Times New Roman"/>
                <w:lang w:eastAsia="ru-RU"/>
              </w:rPr>
              <w:t>Для анализаторов открытого типа и ручной постановки</w:t>
            </w:r>
          </w:p>
          <w:p w:rsidR="0032089F" w:rsidRDefault="0032089F" w:rsidP="00FD6B6C">
            <w:pPr>
              <w:spacing w:after="0" w:line="240" w:lineRule="auto"/>
              <w:rPr>
                <w:rFonts w:ascii="Times New Roman" w:hAnsi="Times New Roman" w:cs="Times New Roman"/>
                <w:lang w:eastAsia="ru-RU"/>
              </w:rPr>
            </w:pPr>
            <w:r w:rsidRPr="00DE021F">
              <w:rPr>
                <w:rFonts w:ascii="Times New Roman" w:hAnsi="Times New Roman" w:cs="Times New Roman"/>
                <w:lang w:eastAsia="ru-RU"/>
              </w:rPr>
              <w:t>Количество выполняемых тестов:  ≥ 20 штук</w:t>
            </w:r>
          </w:p>
          <w:p w:rsidR="0032089F" w:rsidRDefault="0032089F" w:rsidP="00FD6B6C">
            <w:pPr>
              <w:spacing w:after="0" w:line="240" w:lineRule="auto"/>
              <w:rPr>
                <w:rFonts w:ascii="Times New Roman" w:hAnsi="Times New Roman" w:cs="Times New Roman"/>
                <w:b/>
                <w:u w:val="single"/>
                <w:lang w:eastAsia="ru-RU"/>
              </w:rPr>
            </w:pPr>
            <w:r w:rsidRPr="007224CC">
              <w:rPr>
                <w:rFonts w:ascii="Times New Roman" w:hAnsi="Times New Roman" w:cs="Times New Roman"/>
                <w:b/>
                <w:u w:val="single"/>
                <w:lang w:eastAsia="ru-RU"/>
              </w:rPr>
              <w:t xml:space="preserve">Дополнительные характеристики* </w:t>
            </w:r>
          </w:p>
          <w:p w:rsidR="0032089F" w:rsidRPr="00234897" w:rsidRDefault="0032089F" w:rsidP="00FD6B6C">
            <w:pPr>
              <w:spacing w:after="0" w:line="240" w:lineRule="auto"/>
              <w:rPr>
                <w:rFonts w:ascii="Times New Roman" w:hAnsi="Times New Roman" w:cs="Times New Roman"/>
                <w:lang w:eastAsia="ru-RU"/>
              </w:rPr>
            </w:pPr>
            <w:r w:rsidRPr="00DE021F">
              <w:rPr>
                <w:rFonts w:ascii="Times New Roman" w:hAnsi="Times New Roman" w:cs="Times New Roman"/>
                <w:lang w:eastAsia="ru-RU"/>
              </w:rPr>
              <w:t>Моноклональные мышиные антитела к MUC4, для иммуногистохимических исследований на парафиновых срезах, клон 8G7жидкая концентрированная форма, рабочее разведение не менее чем 1:10, объем не менее 1 мл, для использования в иммуностейнере Bond-maX</w:t>
            </w:r>
            <w:r>
              <w:rPr>
                <w:rFonts w:ascii="Times New Roman" w:hAnsi="Times New Roman" w:cs="Times New Roman"/>
                <w:lang w:eastAsia="ru-RU"/>
              </w:rPr>
              <w:t xml:space="preserve">, имеющемся у заказчика. </w:t>
            </w:r>
          </w:p>
        </w:tc>
        <w:tc>
          <w:tcPr>
            <w:tcW w:w="772" w:type="dxa"/>
          </w:tcPr>
          <w:p w:rsidR="0032089F" w:rsidRDefault="0032089F"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030" w:type="dxa"/>
          </w:tcPr>
          <w:p w:rsidR="0032089F" w:rsidRDefault="0032089F" w:rsidP="00FD6B6C">
            <w:pPr>
              <w:spacing w:after="0" w:line="240" w:lineRule="auto"/>
              <w:jc w:val="center"/>
              <w:rPr>
                <w:rFonts w:ascii="Times New Roman" w:hAnsi="Times New Roman" w:cs="Times New Roman"/>
                <w:szCs w:val="26"/>
              </w:rPr>
            </w:pPr>
            <w:r>
              <w:rPr>
                <w:rFonts w:ascii="Times New Roman" w:hAnsi="Times New Roman" w:cs="Times New Roman"/>
                <w:szCs w:val="26"/>
              </w:rPr>
              <w:t>набор</w:t>
            </w:r>
          </w:p>
        </w:tc>
        <w:tc>
          <w:tcPr>
            <w:tcW w:w="1572" w:type="dxa"/>
          </w:tcPr>
          <w:p w:rsidR="0032089F" w:rsidRDefault="0032089F" w:rsidP="00FD6B6C">
            <w:pPr>
              <w:spacing w:after="0" w:line="240" w:lineRule="auto"/>
              <w:jc w:val="center"/>
              <w:rPr>
                <w:rFonts w:ascii="Times New Roman" w:hAnsi="Times New Roman"/>
                <w:sz w:val="20"/>
                <w:szCs w:val="20"/>
                <w:lang w:eastAsia="ru-RU"/>
              </w:rPr>
            </w:pPr>
            <w:r w:rsidRPr="00234897">
              <w:rPr>
                <w:rFonts w:ascii="Times New Roman" w:hAnsi="Times New Roman"/>
                <w:sz w:val="20"/>
                <w:szCs w:val="20"/>
                <w:lang w:eastAsia="ru-RU"/>
              </w:rPr>
              <w:t>21.20.23.110-00007915</w:t>
            </w:r>
          </w:p>
        </w:tc>
        <w:tc>
          <w:tcPr>
            <w:tcW w:w="1541" w:type="dxa"/>
            <w:shd w:val="clear" w:color="auto" w:fill="FFFFCC"/>
          </w:tcPr>
          <w:p w:rsidR="0032089F" w:rsidRPr="000E0FFD" w:rsidRDefault="0032089F" w:rsidP="00FD6B6C">
            <w:pPr>
              <w:spacing w:after="0" w:line="240" w:lineRule="auto"/>
              <w:jc w:val="center"/>
              <w:rPr>
                <w:rFonts w:ascii="Times New Roman" w:hAnsi="Times New Roman"/>
                <w:lang w:eastAsia="ru-RU"/>
              </w:rPr>
            </w:pPr>
          </w:p>
        </w:tc>
        <w:tc>
          <w:tcPr>
            <w:tcW w:w="771" w:type="dxa"/>
            <w:shd w:val="clear" w:color="auto" w:fill="FFFFCC"/>
          </w:tcPr>
          <w:p w:rsidR="0032089F" w:rsidRPr="000E0FFD" w:rsidRDefault="0032089F" w:rsidP="00FD6B6C">
            <w:pPr>
              <w:spacing w:after="0" w:line="240" w:lineRule="auto"/>
              <w:jc w:val="center"/>
              <w:rPr>
                <w:rFonts w:ascii="Times New Roman" w:hAnsi="Times New Roman"/>
                <w:lang w:eastAsia="ru-RU"/>
              </w:rPr>
            </w:pPr>
          </w:p>
        </w:tc>
        <w:tc>
          <w:tcPr>
            <w:tcW w:w="1065" w:type="dxa"/>
            <w:shd w:val="clear" w:color="auto" w:fill="FFFFCC"/>
          </w:tcPr>
          <w:p w:rsidR="0032089F" w:rsidRPr="000E0FFD" w:rsidRDefault="0032089F" w:rsidP="00FD6B6C">
            <w:pPr>
              <w:spacing w:after="0" w:line="240" w:lineRule="auto"/>
              <w:jc w:val="center"/>
              <w:rPr>
                <w:rFonts w:ascii="Times New Roman" w:hAnsi="Times New Roman"/>
                <w:lang w:eastAsia="ru-RU"/>
              </w:rPr>
            </w:pPr>
          </w:p>
        </w:tc>
        <w:tc>
          <w:tcPr>
            <w:tcW w:w="1517" w:type="dxa"/>
            <w:shd w:val="clear" w:color="auto" w:fill="FFFFCC"/>
          </w:tcPr>
          <w:p w:rsidR="0032089F" w:rsidRPr="000E0FFD" w:rsidRDefault="0032089F" w:rsidP="00FD6B6C">
            <w:pPr>
              <w:spacing w:after="0" w:line="240" w:lineRule="auto"/>
              <w:jc w:val="center"/>
              <w:rPr>
                <w:rFonts w:ascii="Times New Roman" w:hAnsi="Times New Roman"/>
                <w:lang w:eastAsia="ru-RU"/>
              </w:rPr>
            </w:pPr>
          </w:p>
        </w:tc>
      </w:tr>
      <w:tr w:rsidR="0032089F" w:rsidRPr="000E0FFD" w:rsidTr="00FD6B6C">
        <w:trPr>
          <w:trHeight w:val="20"/>
          <w:jc w:val="center"/>
        </w:trPr>
        <w:tc>
          <w:tcPr>
            <w:tcW w:w="639" w:type="dxa"/>
          </w:tcPr>
          <w:p w:rsidR="0032089F" w:rsidRPr="000E0FFD" w:rsidRDefault="0032089F" w:rsidP="00FD6B6C">
            <w:pPr>
              <w:pStyle w:val="a7"/>
              <w:numPr>
                <w:ilvl w:val="0"/>
                <w:numId w:val="20"/>
              </w:numPr>
              <w:spacing w:after="0" w:line="240" w:lineRule="auto"/>
              <w:ind w:left="139" w:hanging="283"/>
              <w:jc w:val="center"/>
              <w:rPr>
                <w:rFonts w:ascii="Times New Roman" w:hAnsi="Times New Roman"/>
                <w:lang w:eastAsia="ru-RU"/>
              </w:rPr>
            </w:pPr>
          </w:p>
        </w:tc>
        <w:tc>
          <w:tcPr>
            <w:tcW w:w="1970" w:type="dxa"/>
          </w:tcPr>
          <w:p w:rsidR="0032089F" w:rsidRPr="00A70130" w:rsidRDefault="0032089F" w:rsidP="00FD6B6C">
            <w:pPr>
              <w:spacing w:after="0" w:line="240" w:lineRule="auto"/>
              <w:jc w:val="center"/>
              <w:rPr>
                <w:rFonts w:ascii="Times New Roman" w:hAnsi="Times New Roman" w:cs="Times New Roman"/>
                <w:lang w:eastAsia="ru-RU"/>
              </w:rPr>
            </w:pPr>
            <w:r w:rsidRPr="00A70130">
              <w:rPr>
                <w:rFonts w:ascii="Times New Roman" w:hAnsi="Times New Roman" w:cs="Times New Roman"/>
                <w:lang w:eastAsia="ru-RU"/>
              </w:rPr>
              <w:t>Е-кадгерин эпителиальный маркер ИВД, антитела</w:t>
            </w:r>
          </w:p>
        </w:tc>
        <w:tc>
          <w:tcPr>
            <w:tcW w:w="5538" w:type="dxa"/>
          </w:tcPr>
          <w:p w:rsidR="0032089F" w:rsidRDefault="0032089F" w:rsidP="00FD6B6C">
            <w:pPr>
              <w:spacing w:after="0" w:line="240" w:lineRule="auto"/>
              <w:rPr>
                <w:rFonts w:ascii="Times New Roman" w:hAnsi="Times New Roman" w:cs="Times New Roman"/>
                <w:lang w:eastAsia="ru-RU"/>
              </w:rPr>
            </w:pPr>
            <w:r w:rsidRPr="00DE021F">
              <w:rPr>
                <w:rFonts w:ascii="Times New Roman" w:hAnsi="Times New Roman" w:cs="Times New Roman"/>
                <w:lang w:eastAsia="ru-RU"/>
              </w:rPr>
              <w:t>Объем реагента: ≥ 1 Кубический сантиметр;^миллилитр</w:t>
            </w:r>
          </w:p>
          <w:p w:rsidR="0032089F" w:rsidRDefault="0032089F" w:rsidP="00FD6B6C">
            <w:pPr>
              <w:spacing w:after="0" w:line="240" w:lineRule="auto"/>
              <w:rPr>
                <w:rFonts w:ascii="Times New Roman" w:hAnsi="Times New Roman" w:cs="Times New Roman"/>
                <w:b/>
                <w:u w:val="single"/>
                <w:lang w:eastAsia="ru-RU"/>
              </w:rPr>
            </w:pPr>
            <w:r w:rsidRPr="007224CC">
              <w:rPr>
                <w:rFonts w:ascii="Times New Roman" w:hAnsi="Times New Roman" w:cs="Times New Roman"/>
                <w:b/>
                <w:u w:val="single"/>
                <w:lang w:eastAsia="ru-RU"/>
              </w:rPr>
              <w:t xml:space="preserve">Дополнительные характеристики* </w:t>
            </w:r>
          </w:p>
          <w:p w:rsidR="0032089F" w:rsidRDefault="0032089F" w:rsidP="00FD6B6C">
            <w:pPr>
              <w:spacing w:after="0" w:line="240" w:lineRule="auto"/>
              <w:rPr>
                <w:rFonts w:ascii="Times New Roman" w:hAnsi="Times New Roman" w:cs="Times New Roman"/>
                <w:lang w:eastAsia="ru-RU"/>
              </w:rPr>
            </w:pPr>
            <w:r w:rsidRPr="00DE021F">
              <w:rPr>
                <w:rFonts w:ascii="Times New Roman" w:hAnsi="Times New Roman" w:cs="Times New Roman"/>
                <w:lang w:eastAsia="ru-RU"/>
              </w:rPr>
              <w:t>Моноклональные мышиные антитела к E-кадгерину, для иммуногистохимических исследований на парафиновых срезах, клон 36B5, жидкая  концентрированная форма, рабочее разведение не менее чем 1:25, для использования в иммуностейнере Bond-maX</w:t>
            </w:r>
            <w:r>
              <w:rPr>
                <w:rFonts w:ascii="Times New Roman" w:hAnsi="Times New Roman" w:cs="Times New Roman"/>
                <w:lang w:eastAsia="ru-RU"/>
              </w:rPr>
              <w:t xml:space="preserve">, имеющимся у заказчика. </w:t>
            </w:r>
          </w:p>
        </w:tc>
        <w:tc>
          <w:tcPr>
            <w:tcW w:w="772" w:type="dxa"/>
          </w:tcPr>
          <w:p w:rsidR="0032089F" w:rsidRDefault="0032089F"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030" w:type="dxa"/>
          </w:tcPr>
          <w:p w:rsidR="0032089F" w:rsidRDefault="0032089F" w:rsidP="00FD6B6C">
            <w:pPr>
              <w:spacing w:after="0" w:line="240" w:lineRule="auto"/>
              <w:jc w:val="center"/>
              <w:rPr>
                <w:rFonts w:ascii="Times New Roman" w:hAnsi="Times New Roman" w:cs="Times New Roman"/>
                <w:szCs w:val="26"/>
              </w:rPr>
            </w:pPr>
            <w:r>
              <w:rPr>
                <w:rFonts w:ascii="Times New Roman" w:hAnsi="Times New Roman" w:cs="Times New Roman"/>
                <w:szCs w:val="26"/>
              </w:rPr>
              <w:t>упак</w:t>
            </w:r>
          </w:p>
        </w:tc>
        <w:tc>
          <w:tcPr>
            <w:tcW w:w="1572" w:type="dxa"/>
          </w:tcPr>
          <w:p w:rsidR="0032089F" w:rsidRPr="00234897" w:rsidRDefault="0032089F" w:rsidP="00FD6B6C">
            <w:pPr>
              <w:spacing w:after="0" w:line="240" w:lineRule="auto"/>
              <w:jc w:val="center"/>
              <w:rPr>
                <w:rFonts w:ascii="Times New Roman" w:hAnsi="Times New Roman"/>
                <w:sz w:val="20"/>
                <w:szCs w:val="20"/>
                <w:lang w:eastAsia="ru-RU"/>
              </w:rPr>
            </w:pPr>
            <w:r w:rsidRPr="00DE021F">
              <w:rPr>
                <w:rFonts w:ascii="Times New Roman" w:hAnsi="Times New Roman"/>
                <w:sz w:val="20"/>
                <w:szCs w:val="20"/>
                <w:lang w:eastAsia="ru-RU"/>
              </w:rPr>
              <w:t>21.20.23.110-00004954</w:t>
            </w:r>
          </w:p>
        </w:tc>
        <w:tc>
          <w:tcPr>
            <w:tcW w:w="1541" w:type="dxa"/>
            <w:shd w:val="clear" w:color="auto" w:fill="FFFFCC"/>
          </w:tcPr>
          <w:p w:rsidR="0032089F" w:rsidRPr="000E0FFD" w:rsidRDefault="0032089F" w:rsidP="00FD6B6C">
            <w:pPr>
              <w:spacing w:after="0" w:line="240" w:lineRule="auto"/>
              <w:jc w:val="center"/>
              <w:rPr>
                <w:rFonts w:ascii="Times New Roman" w:hAnsi="Times New Roman"/>
                <w:lang w:eastAsia="ru-RU"/>
              </w:rPr>
            </w:pPr>
          </w:p>
        </w:tc>
        <w:tc>
          <w:tcPr>
            <w:tcW w:w="771" w:type="dxa"/>
            <w:shd w:val="clear" w:color="auto" w:fill="FFFFCC"/>
          </w:tcPr>
          <w:p w:rsidR="0032089F" w:rsidRPr="000E0FFD" w:rsidRDefault="0032089F" w:rsidP="00FD6B6C">
            <w:pPr>
              <w:spacing w:after="0" w:line="240" w:lineRule="auto"/>
              <w:jc w:val="center"/>
              <w:rPr>
                <w:rFonts w:ascii="Times New Roman" w:hAnsi="Times New Roman"/>
                <w:lang w:eastAsia="ru-RU"/>
              </w:rPr>
            </w:pPr>
          </w:p>
        </w:tc>
        <w:tc>
          <w:tcPr>
            <w:tcW w:w="1065" w:type="dxa"/>
            <w:shd w:val="clear" w:color="auto" w:fill="FFFFCC"/>
          </w:tcPr>
          <w:p w:rsidR="0032089F" w:rsidRPr="000E0FFD" w:rsidRDefault="0032089F" w:rsidP="00FD6B6C">
            <w:pPr>
              <w:spacing w:after="0" w:line="240" w:lineRule="auto"/>
              <w:jc w:val="center"/>
              <w:rPr>
                <w:rFonts w:ascii="Times New Roman" w:hAnsi="Times New Roman"/>
                <w:lang w:eastAsia="ru-RU"/>
              </w:rPr>
            </w:pPr>
          </w:p>
        </w:tc>
        <w:tc>
          <w:tcPr>
            <w:tcW w:w="1517" w:type="dxa"/>
            <w:shd w:val="clear" w:color="auto" w:fill="FFFFCC"/>
          </w:tcPr>
          <w:p w:rsidR="0032089F" w:rsidRPr="000E0FFD" w:rsidRDefault="0032089F" w:rsidP="00FD6B6C">
            <w:pPr>
              <w:spacing w:after="0" w:line="240" w:lineRule="auto"/>
              <w:jc w:val="center"/>
              <w:rPr>
                <w:rFonts w:ascii="Times New Roman" w:hAnsi="Times New Roman"/>
                <w:lang w:eastAsia="ru-RU"/>
              </w:rPr>
            </w:pPr>
          </w:p>
        </w:tc>
      </w:tr>
      <w:tr w:rsidR="0032089F" w:rsidRPr="000E0FFD" w:rsidTr="00FD6B6C">
        <w:trPr>
          <w:trHeight w:val="20"/>
          <w:jc w:val="center"/>
        </w:trPr>
        <w:tc>
          <w:tcPr>
            <w:tcW w:w="639" w:type="dxa"/>
          </w:tcPr>
          <w:p w:rsidR="0032089F" w:rsidRPr="000E0FFD" w:rsidRDefault="0032089F" w:rsidP="00FD6B6C">
            <w:pPr>
              <w:pStyle w:val="a7"/>
              <w:numPr>
                <w:ilvl w:val="0"/>
                <w:numId w:val="20"/>
              </w:numPr>
              <w:spacing w:after="0" w:line="240" w:lineRule="auto"/>
              <w:ind w:left="139" w:hanging="283"/>
              <w:jc w:val="center"/>
              <w:rPr>
                <w:rFonts w:ascii="Times New Roman" w:hAnsi="Times New Roman"/>
                <w:lang w:eastAsia="ru-RU"/>
              </w:rPr>
            </w:pPr>
          </w:p>
        </w:tc>
        <w:tc>
          <w:tcPr>
            <w:tcW w:w="1970" w:type="dxa"/>
          </w:tcPr>
          <w:p w:rsidR="0032089F" w:rsidRPr="00A70130" w:rsidRDefault="0032089F" w:rsidP="00FD6B6C">
            <w:pPr>
              <w:spacing w:after="0" w:line="240" w:lineRule="auto"/>
              <w:jc w:val="center"/>
              <w:rPr>
                <w:rFonts w:ascii="Times New Roman" w:hAnsi="Times New Roman" w:cs="Times New Roman"/>
                <w:lang w:eastAsia="ru-RU"/>
              </w:rPr>
            </w:pPr>
            <w:r w:rsidRPr="00A70130">
              <w:rPr>
                <w:rFonts w:ascii="Times New Roman" w:hAnsi="Times New Roman" w:cs="Times New Roman"/>
                <w:lang w:eastAsia="ru-RU"/>
              </w:rPr>
              <w:t>Набор для очистки пробозаборника от DAB</w:t>
            </w:r>
          </w:p>
        </w:tc>
        <w:tc>
          <w:tcPr>
            <w:tcW w:w="5538" w:type="dxa"/>
          </w:tcPr>
          <w:p w:rsidR="0032089F" w:rsidRDefault="0032089F" w:rsidP="00FD6B6C">
            <w:pPr>
              <w:spacing w:after="0" w:line="240" w:lineRule="auto"/>
              <w:rPr>
                <w:rFonts w:ascii="Times New Roman" w:hAnsi="Times New Roman" w:cs="Times New Roman"/>
                <w:lang w:eastAsia="ru-RU"/>
              </w:rPr>
            </w:pPr>
            <w:r w:rsidRPr="00DE021F">
              <w:rPr>
                <w:rFonts w:ascii="Times New Roman" w:hAnsi="Times New Roman" w:cs="Times New Roman"/>
                <w:lang w:eastAsia="ru-RU"/>
              </w:rPr>
              <w:t>Набор для очистки пробозаборн</w:t>
            </w:r>
            <w:r>
              <w:rPr>
                <w:rFonts w:ascii="Times New Roman" w:hAnsi="Times New Roman" w:cs="Times New Roman"/>
                <w:lang w:eastAsia="ru-RU"/>
              </w:rPr>
              <w:t>ика для иммуностейнера Bond-maX, имеющегося у заказчика.</w:t>
            </w:r>
            <w:r w:rsidRPr="00DE021F">
              <w:rPr>
                <w:rFonts w:ascii="Times New Roman" w:hAnsi="Times New Roman" w:cs="Times New Roman"/>
                <w:lang w:eastAsia="ru-RU"/>
              </w:rPr>
              <w:t xml:space="preserve"> Штатив должен содержать не менее 3 контейнеров: 1) Чистящий компонент A, объем не менее 3,75 мл; 2) Чистящий компонент B, &lt;5 % серной кислоты, объем не менее 3,75 мл; 3) Чистящий компонент C, объем не менее 3,75 мл.</w:t>
            </w:r>
          </w:p>
          <w:p w:rsidR="0032089F" w:rsidRPr="00DE021F" w:rsidRDefault="0032089F" w:rsidP="00FD6B6C">
            <w:pPr>
              <w:spacing w:after="0" w:line="240" w:lineRule="auto"/>
              <w:rPr>
                <w:rFonts w:ascii="Times New Roman" w:hAnsi="Times New Roman" w:cs="Times New Roman"/>
                <w:lang w:eastAsia="ru-RU"/>
              </w:rPr>
            </w:pPr>
            <w:r w:rsidRPr="00DE021F">
              <w:rPr>
                <w:rFonts w:ascii="Times New Roman" w:hAnsi="Times New Roman" w:cs="Times New Roman"/>
                <w:lang w:eastAsia="ru-RU"/>
              </w:rPr>
              <w:t>Штатив с реагентами должен загружаться в прибор и осуществлять очистку элементов прибора по предустановленному протоколу.</w:t>
            </w:r>
          </w:p>
        </w:tc>
        <w:tc>
          <w:tcPr>
            <w:tcW w:w="772" w:type="dxa"/>
          </w:tcPr>
          <w:p w:rsidR="0032089F" w:rsidRDefault="0032089F"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030" w:type="dxa"/>
          </w:tcPr>
          <w:p w:rsidR="0032089F" w:rsidRDefault="0032089F" w:rsidP="00FD6B6C">
            <w:pPr>
              <w:spacing w:after="0" w:line="240" w:lineRule="auto"/>
              <w:jc w:val="center"/>
              <w:rPr>
                <w:rFonts w:ascii="Times New Roman" w:hAnsi="Times New Roman" w:cs="Times New Roman"/>
                <w:szCs w:val="26"/>
              </w:rPr>
            </w:pPr>
            <w:r>
              <w:rPr>
                <w:rFonts w:ascii="Times New Roman" w:hAnsi="Times New Roman" w:cs="Times New Roman"/>
                <w:szCs w:val="26"/>
              </w:rPr>
              <w:t>шт</w:t>
            </w:r>
          </w:p>
        </w:tc>
        <w:tc>
          <w:tcPr>
            <w:tcW w:w="1572" w:type="dxa"/>
          </w:tcPr>
          <w:p w:rsidR="0032089F" w:rsidRPr="00DE021F" w:rsidRDefault="0032089F"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21.20.23.110</w:t>
            </w:r>
          </w:p>
        </w:tc>
        <w:tc>
          <w:tcPr>
            <w:tcW w:w="1541" w:type="dxa"/>
            <w:shd w:val="clear" w:color="auto" w:fill="FFFFCC"/>
          </w:tcPr>
          <w:p w:rsidR="0032089F" w:rsidRPr="000E0FFD" w:rsidRDefault="0032089F" w:rsidP="00FD6B6C">
            <w:pPr>
              <w:spacing w:after="0" w:line="240" w:lineRule="auto"/>
              <w:jc w:val="center"/>
              <w:rPr>
                <w:rFonts w:ascii="Times New Roman" w:hAnsi="Times New Roman"/>
                <w:lang w:eastAsia="ru-RU"/>
              </w:rPr>
            </w:pPr>
          </w:p>
        </w:tc>
        <w:tc>
          <w:tcPr>
            <w:tcW w:w="771" w:type="dxa"/>
            <w:shd w:val="clear" w:color="auto" w:fill="FFFFCC"/>
          </w:tcPr>
          <w:p w:rsidR="0032089F" w:rsidRPr="000E0FFD" w:rsidRDefault="0032089F" w:rsidP="00FD6B6C">
            <w:pPr>
              <w:spacing w:after="0" w:line="240" w:lineRule="auto"/>
              <w:jc w:val="center"/>
              <w:rPr>
                <w:rFonts w:ascii="Times New Roman" w:hAnsi="Times New Roman"/>
                <w:lang w:eastAsia="ru-RU"/>
              </w:rPr>
            </w:pPr>
          </w:p>
        </w:tc>
        <w:tc>
          <w:tcPr>
            <w:tcW w:w="1065" w:type="dxa"/>
            <w:shd w:val="clear" w:color="auto" w:fill="FFFFCC"/>
          </w:tcPr>
          <w:p w:rsidR="0032089F" w:rsidRPr="000E0FFD" w:rsidRDefault="0032089F" w:rsidP="00FD6B6C">
            <w:pPr>
              <w:spacing w:after="0" w:line="240" w:lineRule="auto"/>
              <w:jc w:val="center"/>
              <w:rPr>
                <w:rFonts w:ascii="Times New Roman" w:hAnsi="Times New Roman"/>
                <w:lang w:eastAsia="ru-RU"/>
              </w:rPr>
            </w:pPr>
          </w:p>
        </w:tc>
        <w:tc>
          <w:tcPr>
            <w:tcW w:w="1517" w:type="dxa"/>
            <w:shd w:val="clear" w:color="auto" w:fill="FFFFCC"/>
          </w:tcPr>
          <w:p w:rsidR="0032089F" w:rsidRPr="000E0FFD" w:rsidRDefault="0032089F" w:rsidP="00FD6B6C">
            <w:pPr>
              <w:spacing w:after="0" w:line="240" w:lineRule="auto"/>
              <w:jc w:val="center"/>
              <w:rPr>
                <w:rFonts w:ascii="Times New Roman" w:hAnsi="Times New Roman"/>
                <w:lang w:eastAsia="ru-RU"/>
              </w:rPr>
            </w:pPr>
          </w:p>
        </w:tc>
      </w:tr>
    </w:tbl>
    <w:p w:rsidR="0032089F" w:rsidRPr="000437D6" w:rsidRDefault="0032089F" w:rsidP="00E52880">
      <w:pPr>
        <w:pStyle w:val="a7"/>
        <w:widowControl w:val="0"/>
        <w:spacing w:after="0"/>
        <w:ind w:left="644"/>
        <w:jc w:val="center"/>
        <w:rPr>
          <w:rFonts w:ascii="Times New Roman" w:eastAsia="Courier New" w:hAnsi="Times New Roman" w:cs="Times New Roman"/>
          <w:b/>
        </w:rPr>
      </w:pPr>
    </w:p>
    <w:p w:rsidR="0032089F" w:rsidRPr="00ED4C48" w:rsidRDefault="0032089F" w:rsidP="0032089F">
      <w:pPr>
        <w:spacing w:after="0" w:line="240" w:lineRule="auto"/>
        <w:ind w:firstLine="708"/>
        <w:rPr>
          <w:rFonts w:ascii="Times New Roman" w:hAnsi="Times New Roman" w:cs="Times New Roman"/>
          <w:b/>
          <w:lang w:eastAsia="ru-RU"/>
        </w:rPr>
      </w:pPr>
      <w:bookmarkStart w:id="23" w:name="_Ref518475891"/>
      <w:r w:rsidRPr="00ED4C48">
        <w:rPr>
          <w:rFonts w:ascii="Times New Roman" w:hAnsi="Times New Roman" w:cs="Times New Roman"/>
          <w:b/>
          <w:lang w:eastAsia="ru-RU"/>
        </w:rPr>
        <w:t>*Дополнительные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w:t>
      </w:r>
    </w:p>
    <w:bookmarkEnd w:id="23"/>
    <w:p w:rsidR="00170252" w:rsidRDefault="00170252" w:rsidP="000820E3">
      <w:pPr>
        <w:rPr>
          <w:rFonts w:ascii="Times New Roman" w:hAnsi="Times New Roman" w:cs="Times New Roman"/>
          <w:b/>
          <w:sz w:val="28"/>
          <w:szCs w:val="28"/>
        </w:rPr>
      </w:pPr>
    </w:p>
    <w:sectPr w:rsidR="00170252" w:rsidSect="0032089F">
      <w:headerReference w:type="first" r:id="rId17"/>
      <w:footerReference w:type="first" r:id="rId18"/>
      <w:pgSz w:w="16838" w:h="11906" w:orient="landscape"/>
      <w:pgMar w:top="568" w:right="538" w:bottom="426"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30E" w:rsidRDefault="008C730E">
      <w:pPr>
        <w:spacing w:after="0" w:line="240" w:lineRule="auto"/>
      </w:pPr>
      <w:r>
        <w:separator/>
      </w:r>
    </w:p>
  </w:endnote>
  <w:endnote w:type="continuationSeparator" w:id="0">
    <w:p w:rsidR="008C730E" w:rsidRDefault="008C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Roboto">
    <w:altName w:val="Times New Roman"/>
    <w:charset w:val="00"/>
    <w:family w:val="auto"/>
    <w:pitch w:val="default"/>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33312" w:rsidRDefault="00133312">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133312">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133312">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133312">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133312">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30E" w:rsidRDefault="008C730E">
      <w:pPr>
        <w:spacing w:after="0" w:line="240" w:lineRule="auto"/>
      </w:pPr>
      <w:r>
        <w:separator/>
      </w:r>
    </w:p>
  </w:footnote>
  <w:footnote w:type="continuationSeparator" w:id="0">
    <w:p w:rsidR="008C730E" w:rsidRDefault="008C730E">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33312" w:rsidRDefault="00133312">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33312" w:rsidRDefault="00133312">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33312" w:rsidRDefault="00133312">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3312"/>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089F"/>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30E"/>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9911B-EFC6-4C65-B620-FF9C40B9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1347</Words>
  <Characters>7680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2021-04-13T14:32:00Z</dcterms:created>
  <dcterms:modified xsi:type="dcterms:W3CDTF">2021-04-13T14:32:00Z</dcterms:modified>
</cp:coreProperties>
</file>