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28.01.2022 № 05-07/47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E3563">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341"/>
        <w:gridCol w:w="755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модульных эндопротезов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10.06.2022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письменной заявки от Покупателя. Последняя дата подачи заявки на поставку 03.06.2022.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78"/>
        <w:gridCol w:w="4628"/>
        <w:gridCol w:w="868"/>
        <w:gridCol w:w="686"/>
        <w:gridCol w:w="1518"/>
        <w:gridCol w:w="1888"/>
        <w:gridCol w:w="954"/>
        <w:gridCol w:w="1394"/>
        <w:gridCol w:w="1289"/>
      </w:tblGrid>
      <w:tr w:rsidR="0044081D" w:rsidRPr="00375E1D" w:rsidTr="00483A59">
        <w:trPr>
          <w:trHeight w:val="20"/>
        </w:trPr>
        <w:tc>
          <w:tcPr>
            <w:tcW w:w="171" w:type="pct"/>
            <w:vAlign w:val="center"/>
            <w:hideMark/>
          </w:tcPr>
          <w:p w:rsidR="0044081D" w:rsidRPr="00375E1D" w:rsidRDefault="0044081D" w:rsidP="00483A59">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 п/п</w:t>
            </w:r>
          </w:p>
        </w:tc>
        <w:tc>
          <w:tcPr>
            <w:tcW w:w="683" w:type="pct"/>
            <w:vAlign w:val="center"/>
            <w:hideMark/>
          </w:tcPr>
          <w:p w:rsidR="0044081D" w:rsidRPr="00375E1D" w:rsidRDefault="0044081D" w:rsidP="00483A59">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 xml:space="preserve">Наименование товара </w:t>
            </w:r>
          </w:p>
        </w:tc>
        <w:tc>
          <w:tcPr>
            <w:tcW w:w="1451" w:type="pct"/>
            <w:vAlign w:val="center"/>
            <w:hideMark/>
          </w:tcPr>
          <w:p w:rsidR="0044081D" w:rsidRPr="00375E1D" w:rsidRDefault="0044081D" w:rsidP="00483A59">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Требования к качеству, техническим и функциональным характеристикам товара</w:t>
            </w:r>
          </w:p>
        </w:tc>
        <w:tc>
          <w:tcPr>
            <w:tcW w:w="272" w:type="pct"/>
            <w:vAlign w:val="center"/>
          </w:tcPr>
          <w:p w:rsidR="0044081D" w:rsidRDefault="0044081D" w:rsidP="00483A59">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Кол</w:t>
            </w:r>
          </w:p>
          <w:p w:rsidR="0044081D" w:rsidRPr="00375E1D" w:rsidRDefault="0044081D" w:rsidP="00483A59">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-во</w:t>
            </w:r>
          </w:p>
        </w:tc>
        <w:tc>
          <w:tcPr>
            <w:tcW w:w="215" w:type="pct"/>
            <w:vAlign w:val="center"/>
          </w:tcPr>
          <w:p w:rsidR="0044081D" w:rsidRPr="00375E1D" w:rsidRDefault="0044081D" w:rsidP="00483A59">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Ед. изм.</w:t>
            </w:r>
          </w:p>
        </w:tc>
        <w:tc>
          <w:tcPr>
            <w:tcW w:w="476" w:type="pct"/>
            <w:vAlign w:val="center"/>
          </w:tcPr>
          <w:p w:rsidR="0044081D" w:rsidRPr="00375E1D" w:rsidRDefault="0044081D" w:rsidP="00483A59">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ОКПД2/ КТРУ</w:t>
            </w:r>
          </w:p>
        </w:tc>
        <w:tc>
          <w:tcPr>
            <w:tcW w:w="592" w:type="pct"/>
            <w:shd w:val="clear" w:color="auto" w:fill="FFFFCC"/>
            <w:vAlign w:val="center"/>
          </w:tcPr>
          <w:p w:rsidR="0044081D" w:rsidRPr="00375E1D" w:rsidRDefault="0044081D" w:rsidP="00483A59">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Страна происхождения</w:t>
            </w:r>
          </w:p>
        </w:tc>
        <w:tc>
          <w:tcPr>
            <w:tcW w:w="299" w:type="pct"/>
            <w:shd w:val="clear" w:color="auto" w:fill="FFFFCC"/>
            <w:vAlign w:val="center"/>
          </w:tcPr>
          <w:p w:rsidR="0044081D" w:rsidRPr="00375E1D" w:rsidRDefault="0044081D" w:rsidP="00483A59">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 xml:space="preserve">НДС </w:t>
            </w:r>
          </w:p>
          <w:p w:rsidR="0044081D" w:rsidRPr="00375E1D" w:rsidRDefault="0044081D" w:rsidP="00483A59">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w:t>
            </w:r>
          </w:p>
        </w:tc>
        <w:tc>
          <w:tcPr>
            <w:tcW w:w="437" w:type="pct"/>
            <w:shd w:val="clear" w:color="auto" w:fill="FFFFCC"/>
            <w:vAlign w:val="center"/>
          </w:tcPr>
          <w:p w:rsidR="0044081D" w:rsidRPr="00375E1D" w:rsidRDefault="0044081D" w:rsidP="00483A59">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Цена за ед. без НДС (руб.)</w:t>
            </w:r>
          </w:p>
        </w:tc>
        <w:tc>
          <w:tcPr>
            <w:tcW w:w="404" w:type="pct"/>
            <w:shd w:val="clear" w:color="auto" w:fill="FFFFCC"/>
            <w:vAlign w:val="center"/>
          </w:tcPr>
          <w:p w:rsidR="0044081D" w:rsidRPr="00375E1D" w:rsidRDefault="0044081D" w:rsidP="00483A59">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Сумма без НДС</w:t>
            </w:r>
          </w:p>
          <w:p w:rsidR="0044081D" w:rsidRPr="00375E1D" w:rsidRDefault="0044081D" w:rsidP="00483A59">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 xml:space="preserve"> (руб.)</w:t>
            </w:r>
          </w:p>
        </w:tc>
      </w:tr>
      <w:tr w:rsidR="0044081D" w:rsidRPr="00375E1D" w:rsidTr="00483A59">
        <w:trPr>
          <w:trHeight w:val="557"/>
        </w:trPr>
        <w:tc>
          <w:tcPr>
            <w:tcW w:w="171" w:type="pct"/>
          </w:tcPr>
          <w:p w:rsidR="0044081D" w:rsidRDefault="0044081D" w:rsidP="00483A5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p w:rsidR="0044081D" w:rsidRPr="00375E1D" w:rsidRDefault="0044081D" w:rsidP="00483A59">
            <w:pPr>
              <w:spacing w:after="0" w:line="240" w:lineRule="auto"/>
              <w:jc w:val="center"/>
              <w:rPr>
                <w:rFonts w:ascii="Times New Roman" w:hAnsi="Times New Roman" w:cs="Times New Roman"/>
                <w:sz w:val="20"/>
                <w:szCs w:val="20"/>
                <w:lang w:eastAsia="ru-RU"/>
              </w:rPr>
            </w:pPr>
          </w:p>
        </w:tc>
        <w:tc>
          <w:tcPr>
            <w:tcW w:w="683" w:type="pct"/>
            <w:vAlign w:val="center"/>
          </w:tcPr>
          <w:p w:rsidR="0044081D" w:rsidRPr="008C1962" w:rsidRDefault="0044081D" w:rsidP="00483A59">
            <w:pPr>
              <w:rPr>
                <w:rFonts w:ascii="Times New Roman" w:hAnsi="Times New Roman" w:cs="Times New Roman"/>
              </w:rPr>
            </w:pPr>
            <w:r w:rsidRPr="008C1962">
              <w:rPr>
                <w:rFonts w:ascii="Times New Roman" w:hAnsi="Times New Roman" w:cs="Times New Roman"/>
              </w:rPr>
              <w:t xml:space="preserve">Вставка амортизирующая </w:t>
            </w:r>
          </w:p>
        </w:tc>
        <w:tc>
          <w:tcPr>
            <w:tcW w:w="1451" w:type="pct"/>
            <w:vAlign w:val="center"/>
          </w:tcPr>
          <w:p w:rsidR="0044081D" w:rsidRPr="008C1962" w:rsidRDefault="0044081D" w:rsidP="00483A59">
            <w:pPr>
              <w:rPr>
                <w:rFonts w:ascii="Times New Roman" w:hAnsi="Times New Roman" w:cs="Times New Roman"/>
              </w:rPr>
            </w:pPr>
            <w:r w:rsidRPr="008C1962">
              <w:rPr>
                <w:rFonts w:ascii="Times New Roman" w:hAnsi="Times New Roman" w:cs="Times New Roman"/>
              </w:rPr>
              <w:t>Выполнена из ультравысокомолекулярного полиэтилена с поперечными связями в виде Г-образной пластины с полукруглым стопорным штифтом; стерилизация: гамма-облучение в бескислородных условиях; метод придания формы: изостатическая компрессионная формовка</w:t>
            </w:r>
          </w:p>
        </w:tc>
        <w:tc>
          <w:tcPr>
            <w:tcW w:w="272" w:type="pct"/>
          </w:tcPr>
          <w:p w:rsidR="0044081D" w:rsidRPr="00375E1D" w:rsidRDefault="0044081D" w:rsidP="00483A5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215" w:type="pct"/>
          </w:tcPr>
          <w:p w:rsidR="0044081D" w:rsidRPr="00375E1D" w:rsidRDefault="0044081D" w:rsidP="00483A5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шт</w:t>
            </w:r>
          </w:p>
        </w:tc>
        <w:tc>
          <w:tcPr>
            <w:tcW w:w="476" w:type="pct"/>
          </w:tcPr>
          <w:p w:rsidR="0044081D" w:rsidRPr="00375E1D" w:rsidRDefault="0044081D" w:rsidP="00483A59">
            <w:pPr>
              <w:spacing w:after="0" w:line="240" w:lineRule="auto"/>
              <w:jc w:val="center"/>
              <w:rPr>
                <w:rFonts w:ascii="Times New Roman" w:hAnsi="Times New Roman" w:cs="Times New Roman"/>
                <w:sz w:val="20"/>
                <w:szCs w:val="20"/>
                <w:lang w:eastAsia="ru-RU"/>
              </w:rPr>
            </w:pPr>
            <w:r w:rsidRPr="004456FE">
              <w:rPr>
                <w:rFonts w:ascii="Times New Roman" w:eastAsia="Times New Roman" w:hAnsi="Times New Roman" w:cs="Times New Roman"/>
              </w:rPr>
              <w:t>32.50.22.110</w:t>
            </w:r>
          </w:p>
        </w:tc>
        <w:tc>
          <w:tcPr>
            <w:tcW w:w="592" w:type="pct"/>
            <w:shd w:val="clear" w:color="auto" w:fill="FFFFCC"/>
          </w:tcPr>
          <w:p w:rsidR="0044081D" w:rsidRPr="00375E1D" w:rsidRDefault="0044081D" w:rsidP="00483A59">
            <w:pPr>
              <w:spacing w:after="0" w:line="240" w:lineRule="auto"/>
              <w:jc w:val="center"/>
              <w:rPr>
                <w:rFonts w:ascii="Times New Roman" w:hAnsi="Times New Roman" w:cs="Times New Roman"/>
                <w:b/>
                <w:sz w:val="20"/>
                <w:szCs w:val="20"/>
                <w:lang w:eastAsia="ru-RU"/>
              </w:rPr>
            </w:pPr>
          </w:p>
        </w:tc>
        <w:tc>
          <w:tcPr>
            <w:tcW w:w="299" w:type="pct"/>
            <w:shd w:val="clear" w:color="auto" w:fill="FFFFCC"/>
            <w:vAlign w:val="center"/>
          </w:tcPr>
          <w:p w:rsidR="0044081D" w:rsidRPr="00375E1D" w:rsidRDefault="0044081D" w:rsidP="00483A59">
            <w:pPr>
              <w:spacing w:after="0" w:line="240" w:lineRule="auto"/>
              <w:jc w:val="center"/>
              <w:rPr>
                <w:rFonts w:ascii="Times New Roman" w:hAnsi="Times New Roman" w:cs="Times New Roman"/>
                <w:b/>
                <w:sz w:val="20"/>
                <w:szCs w:val="20"/>
                <w:lang w:eastAsia="ru-RU"/>
              </w:rPr>
            </w:pPr>
          </w:p>
        </w:tc>
        <w:tc>
          <w:tcPr>
            <w:tcW w:w="437" w:type="pct"/>
            <w:shd w:val="clear" w:color="auto" w:fill="FFFFCC"/>
            <w:vAlign w:val="center"/>
          </w:tcPr>
          <w:p w:rsidR="0044081D" w:rsidRPr="00375E1D" w:rsidRDefault="0044081D" w:rsidP="00483A59">
            <w:pPr>
              <w:spacing w:after="0" w:line="240" w:lineRule="auto"/>
              <w:jc w:val="center"/>
              <w:rPr>
                <w:rFonts w:ascii="Times New Roman" w:hAnsi="Times New Roman" w:cs="Times New Roman"/>
                <w:b/>
                <w:sz w:val="20"/>
                <w:szCs w:val="20"/>
                <w:lang w:eastAsia="ru-RU"/>
              </w:rPr>
            </w:pPr>
          </w:p>
        </w:tc>
        <w:tc>
          <w:tcPr>
            <w:tcW w:w="404" w:type="pct"/>
            <w:shd w:val="clear" w:color="auto" w:fill="FFFFCC"/>
            <w:vAlign w:val="center"/>
          </w:tcPr>
          <w:p w:rsidR="0044081D" w:rsidRPr="00375E1D" w:rsidRDefault="0044081D" w:rsidP="00483A59">
            <w:pPr>
              <w:spacing w:after="0" w:line="240" w:lineRule="auto"/>
              <w:jc w:val="center"/>
              <w:rPr>
                <w:rFonts w:ascii="Times New Roman" w:hAnsi="Times New Roman" w:cs="Times New Roman"/>
                <w:b/>
                <w:sz w:val="20"/>
                <w:szCs w:val="20"/>
                <w:lang w:eastAsia="ru-RU"/>
              </w:rPr>
            </w:pPr>
          </w:p>
        </w:tc>
      </w:tr>
      <w:tr w:rsidR="0044081D" w:rsidRPr="00375E1D" w:rsidTr="00483A59">
        <w:trPr>
          <w:trHeight w:val="557"/>
        </w:trPr>
        <w:tc>
          <w:tcPr>
            <w:tcW w:w="171" w:type="pct"/>
          </w:tcPr>
          <w:p w:rsidR="0044081D" w:rsidRDefault="0044081D" w:rsidP="00483A5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p w:rsidR="0044081D" w:rsidRPr="00375E1D" w:rsidRDefault="0044081D" w:rsidP="00483A59">
            <w:pPr>
              <w:spacing w:after="0" w:line="240" w:lineRule="auto"/>
              <w:jc w:val="center"/>
              <w:rPr>
                <w:rFonts w:ascii="Times New Roman" w:hAnsi="Times New Roman" w:cs="Times New Roman"/>
                <w:sz w:val="20"/>
                <w:szCs w:val="20"/>
                <w:lang w:eastAsia="ru-RU"/>
              </w:rPr>
            </w:pPr>
          </w:p>
        </w:tc>
        <w:tc>
          <w:tcPr>
            <w:tcW w:w="683" w:type="pct"/>
            <w:vAlign w:val="center"/>
          </w:tcPr>
          <w:p w:rsidR="0044081D" w:rsidRPr="008C1962" w:rsidRDefault="0044081D" w:rsidP="00483A59">
            <w:pPr>
              <w:rPr>
                <w:rFonts w:ascii="Times New Roman" w:hAnsi="Times New Roman" w:cs="Times New Roman"/>
              </w:rPr>
            </w:pPr>
            <w:r w:rsidRPr="008C1962">
              <w:rPr>
                <w:rFonts w:ascii="Times New Roman" w:hAnsi="Times New Roman" w:cs="Times New Roman"/>
              </w:rPr>
              <w:t xml:space="preserve">Муфта большеберцовая </w:t>
            </w:r>
          </w:p>
        </w:tc>
        <w:tc>
          <w:tcPr>
            <w:tcW w:w="1451" w:type="pct"/>
            <w:vAlign w:val="center"/>
          </w:tcPr>
          <w:p w:rsidR="0044081D" w:rsidRPr="008C1962" w:rsidRDefault="0044081D" w:rsidP="00483A59">
            <w:pPr>
              <w:rPr>
                <w:rFonts w:ascii="Times New Roman" w:hAnsi="Times New Roman" w:cs="Times New Roman"/>
              </w:rPr>
            </w:pPr>
            <w:r w:rsidRPr="008C1962">
              <w:rPr>
                <w:rFonts w:ascii="Times New Roman" w:hAnsi="Times New Roman" w:cs="Times New Roman"/>
              </w:rPr>
              <w:br/>
              <w:t>Выполнена из</w:t>
            </w:r>
            <w:r>
              <w:rPr>
                <w:rFonts w:ascii="Times New Roman" w:hAnsi="Times New Roman" w:cs="Times New Roman"/>
              </w:rPr>
              <w:t xml:space="preserve"> </w:t>
            </w:r>
            <w:r w:rsidRPr="008C1962">
              <w:rPr>
                <w:rFonts w:ascii="Times New Roman" w:hAnsi="Times New Roman" w:cs="Times New Roman"/>
              </w:rPr>
              <w:t>ультравысокомолекулярного полиэтилена с поперечными связями в виде полого цилиндра; стерилизация: гамма-облучение в бескислородных условиях; метод придания формы: изостатическая компрессионная формовка.</w:t>
            </w:r>
          </w:p>
        </w:tc>
        <w:tc>
          <w:tcPr>
            <w:tcW w:w="272" w:type="pct"/>
          </w:tcPr>
          <w:p w:rsidR="0044081D" w:rsidRPr="00375E1D" w:rsidRDefault="0044081D" w:rsidP="00483A5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215" w:type="pct"/>
          </w:tcPr>
          <w:p w:rsidR="0044081D" w:rsidRPr="00375E1D" w:rsidRDefault="0044081D" w:rsidP="00483A5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шт</w:t>
            </w:r>
          </w:p>
        </w:tc>
        <w:tc>
          <w:tcPr>
            <w:tcW w:w="476" w:type="pct"/>
          </w:tcPr>
          <w:p w:rsidR="0044081D" w:rsidRPr="00375E1D" w:rsidRDefault="0044081D" w:rsidP="00483A59">
            <w:pPr>
              <w:spacing w:after="0" w:line="240" w:lineRule="auto"/>
              <w:jc w:val="center"/>
              <w:rPr>
                <w:rFonts w:ascii="Times New Roman" w:hAnsi="Times New Roman" w:cs="Times New Roman"/>
                <w:sz w:val="20"/>
                <w:szCs w:val="20"/>
                <w:lang w:eastAsia="ru-RU"/>
              </w:rPr>
            </w:pPr>
            <w:r w:rsidRPr="004456FE">
              <w:rPr>
                <w:rFonts w:ascii="Times New Roman" w:eastAsia="Times New Roman" w:hAnsi="Times New Roman" w:cs="Times New Roman"/>
              </w:rPr>
              <w:t>32.50.22.110</w:t>
            </w:r>
          </w:p>
        </w:tc>
        <w:tc>
          <w:tcPr>
            <w:tcW w:w="592" w:type="pct"/>
            <w:shd w:val="clear" w:color="auto" w:fill="FFFFCC"/>
          </w:tcPr>
          <w:p w:rsidR="0044081D" w:rsidRPr="00375E1D" w:rsidRDefault="0044081D" w:rsidP="00483A59">
            <w:pPr>
              <w:spacing w:after="0" w:line="240" w:lineRule="auto"/>
              <w:jc w:val="center"/>
              <w:rPr>
                <w:rFonts w:ascii="Times New Roman" w:hAnsi="Times New Roman" w:cs="Times New Roman"/>
                <w:b/>
                <w:sz w:val="20"/>
                <w:szCs w:val="20"/>
                <w:lang w:eastAsia="ru-RU"/>
              </w:rPr>
            </w:pPr>
          </w:p>
        </w:tc>
        <w:tc>
          <w:tcPr>
            <w:tcW w:w="299" w:type="pct"/>
            <w:shd w:val="clear" w:color="auto" w:fill="FFFFCC"/>
            <w:vAlign w:val="center"/>
          </w:tcPr>
          <w:p w:rsidR="0044081D" w:rsidRPr="00375E1D" w:rsidRDefault="0044081D" w:rsidP="00483A59">
            <w:pPr>
              <w:spacing w:after="0" w:line="240" w:lineRule="auto"/>
              <w:jc w:val="center"/>
              <w:rPr>
                <w:rFonts w:ascii="Times New Roman" w:hAnsi="Times New Roman" w:cs="Times New Roman"/>
                <w:b/>
                <w:sz w:val="20"/>
                <w:szCs w:val="20"/>
                <w:lang w:eastAsia="ru-RU"/>
              </w:rPr>
            </w:pPr>
          </w:p>
        </w:tc>
        <w:tc>
          <w:tcPr>
            <w:tcW w:w="437" w:type="pct"/>
            <w:shd w:val="clear" w:color="auto" w:fill="FFFFCC"/>
            <w:vAlign w:val="center"/>
          </w:tcPr>
          <w:p w:rsidR="0044081D" w:rsidRPr="00375E1D" w:rsidRDefault="0044081D" w:rsidP="00483A59">
            <w:pPr>
              <w:spacing w:after="0" w:line="240" w:lineRule="auto"/>
              <w:jc w:val="center"/>
              <w:rPr>
                <w:rFonts w:ascii="Times New Roman" w:hAnsi="Times New Roman" w:cs="Times New Roman"/>
                <w:b/>
                <w:sz w:val="20"/>
                <w:szCs w:val="20"/>
                <w:lang w:eastAsia="ru-RU"/>
              </w:rPr>
            </w:pPr>
          </w:p>
        </w:tc>
        <w:tc>
          <w:tcPr>
            <w:tcW w:w="404" w:type="pct"/>
            <w:shd w:val="clear" w:color="auto" w:fill="FFFFCC"/>
            <w:vAlign w:val="center"/>
          </w:tcPr>
          <w:p w:rsidR="0044081D" w:rsidRPr="00375E1D" w:rsidRDefault="0044081D" w:rsidP="00483A59">
            <w:pPr>
              <w:spacing w:after="0" w:line="240" w:lineRule="auto"/>
              <w:jc w:val="center"/>
              <w:rPr>
                <w:rFonts w:ascii="Times New Roman" w:hAnsi="Times New Roman" w:cs="Times New Roman"/>
                <w:b/>
                <w:sz w:val="20"/>
                <w:szCs w:val="20"/>
                <w:lang w:eastAsia="ru-RU"/>
              </w:rPr>
            </w:pPr>
          </w:p>
        </w:tc>
      </w:tr>
      <w:tr w:rsidR="0044081D" w:rsidRPr="00375E1D" w:rsidTr="00483A59">
        <w:trPr>
          <w:trHeight w:val="557"/>
        </w:trPr>
        <w:tc>
          <w:tcPr>
            <w:tcW w:w="171" w:type="pct"/>
          </w:tcPr>
          <w:p w:rsidR="0044081D" w:rsidRDefault="0044081D" w:rsidP="00483A5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683" w:type="pct"/>
            <w:vAlign w:val="center"/>
          </w:tcPr>
          <w:p w:rsidR="0044081D" w:rsidRPr="008C1962" w:rsidRDefault="0044081D" w:rsidP="00483A59">
            <w:pPr>
              <w:rPr>
                <w:rFonts w:ascii="Times New Roman" w:hAnsi="Times New Roman" w:cs="Times New Roman"/>
              </w:rPr>
            </w:pPr>
            <w:r w:rsidRPr="008C1962">
              <w:rPr>
                <w:rFonts w:ascii="Times New Roman" w:hAnsi="Times New Roman" w:cs="Times New Roman"/>
              </w:rPr>
              <w:t xml:space="preserve">Часть удлиняющая </w:t>
            </w:r>
          </w:p>
        </w:tc>
        <w:tc>
          <w:tcPr>
            <w:tcW w:w="1451" w:type="pct"/>
            <w:vAlign w:val="center"/>
          </w:tcPr>
          <w:p w:rsidR="0044081D" w:rsidRPr="008C1962" w:rsidRDefault="0044081D" w:rsidP="00483A59">
            <w:pPr>
              <w:rPr>
                <w:rFonts w:ascii="Times New Roman" w:hAnsi="Times New Roman" w:cs="Times New Roman"/>
              </w:rPr>
            </w:pPr>
            <w:r w:rsidRPr="008C1962">
              <w:rPr>
                <w:rFonts w:ascii="Times New Roman" w:hAnsi="Times New Roman" w:cs="Times New Roman"/>
              </w:rPr>
              <w:t>Выполнена из сплава титана в виде цилиндра с конусом Морзе в проксимальном отделе и ответной частью конуса Морзе и 2-мя антиротационными выступами в дистальном отделе; конструкция обеспечивает возможность использования модулей различной длины с любым из бедренных или большеберцовых компонентов в модификациях для замещения костного дефекта. В наличии типоразмеры по длине: 30 мм, 40 мм, 50 мм, 60 мм, 70 мм, 80 мм, 100 мм, 120 мм, 140 мм, 160 мм, 180 мм, 200 мм, 220 мм</w:t>
            </w:r>
          </w:p>
        </w:tc>
        <w:tc>
          <w:tcPr>
            <w:tcW w:w="272" w:type="pct"/>
          </w:tcPr>
          <w:p w:rsidR="0044081D" w:rsidRPr="00375E1D" w:rsidRDefault="0044081D" w:rsidP="00483A5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w:t>
            </w:r>
          </w:p>
        </w:tc>
        <w:tc>
          <w:tcPr>
            <w:tcW w:w="215" w:type="pct"/>
          </w:tcPr>
          <w:p w:rsidR="0044081D" w:rsidRPr="00375E1D" w:rsidRDefault="0044081D" w:rsidP="00483A5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шт</w:t>
            </w:r>
          </w:p>
        </w:tc>
        <w:tc>
          <w:tcPr>
            <w:tcW w:w="476" w:type="pct"/>
          </w:tcPr>
          <w:p w:rsidR="0044081D" w:rsidRPr="00375E1D" w:rsidRDefault="0044081D" w:rsidP="00483A59">
            <w:pPr>
              <w:spacing w:after="0" w:line="240" w:lineRule="auto"/>
              <w:jc w:val="center"/>
              <w:rPr>
                <w:rFonts w:ascii="Times New Roman" w:hAnsi="Times New Roman" w:cs="Times New Roman"/>
                <w:sz w:val="20"/>
                <w:szCs w:val="20"/>
                <w:lang w:eastAsia="ru-RU"/>
              </w:rPr>
            </w:pPr>
            <w:r w:rsidRPr="004456FE">
              <w:rPr>
                <w:rFonts w:ascii="Times New Roman" w:eastAsia="Times New Roman" w:hAnsi="Times New Roman" w:cs="Times New Roman"/>
              </w:rPr>
              <w:t>32.50.22.110</w:t>
            </w:r>
          </w:p>
        </w:tc>
        <w:tc>
          <w:tcPr>
            <w:tcW w:w="592" w:type="pct"/>
            <w:shd w:val="clear" w:color="auto" w:fill="FFFFCC"/>
          </w:tcPr>
          <w:p w:rsidR="0044081D" w:rsidRPr="00375E1D" w:rsidRDefault="0044081D" w:rsidP="00483A59">
            <w:pPr>
              <w:spacing w:after="0" w:line="240" w:lineRule="auto"/>
              <w:jc w:val="center"/>
              <w:rPr>
                <w:rFonts w:ascii="Times New Roman" w:hAnsi="Times New Roman" w:cs="Times New Roman"/>
                <w:b/>
                <w:sz w:val="20"/>
                <w:szCs w:val="20"/>
                <w:lang w:eastAsia="ru-RU"/>
              </w:rPr>
            </w:pPr>
          </w:p>
        </w:tc>
        <w:tc>
          <w:tcPr>
            <w:tcW w:w="299" w:type="pct"/>
            <w:shd w:val="clear" w:color="auto" w:fill="FFFFCC"/>
            <w:vAlign w:val="center"/>
          </w:tcPr>
          <w:p w:rsidR="0044081D" w:rsidRPr="00375E1D" w:rsidRDefault="0044081D" w:rsidP="00483A59">
            <w:pPr>
              <w:spacing w:after="0" w:line="240" w:lineRule="auto"/>
              <w:jc w:val="center"/>
              <w:rPr>
                <w:rFonts w:ascii="Times New Roman" w:hAnsi="Times New Roman" w:cs="Times New Roman"/>
                <w:b/>
                <w:sz w:val="20"/>
                <w:szCs w:val="20"/>
                <w:lang w:eastAsia="ru-RU"/>
              </w:rPr>
            </w:pPr>
          </w:p>
        </w:tc>
        <w:tc>
          <w:tcPr>
            <w:tcW w:w="437" w:type="pct"/>
            <w:shd w:val="clear" w:color="auto" w:fill="FFFFCC"/>
            <w:vAlign w:val="center"/>
          </w:tcPr>
          <w:p w:rsidR="0044081D" w:rsidRPr="00375E1D" w:rsidRDefault="0044081D" w:rsidP="00483A59">
            <w:pPr>
              <w:spacing w:after="0" w:line="240" w:lineRule="auto"/>
              <w:jc w:val="center"/>
              <w:rPr>
                <w:rFonts w:ascii="Times New Roman" w:hAnsi="Times New Roman" w:cs="Times New Roman"/>
                <w:b/>
                <w:sz w:val="20"/>
                <w:szCs w:val="20"/>
                <w:lang w:eastAsia="ru-RU"/>
              </w:rPr>
            </w:pPr>
          </w:p>
        </w:tc>
        <w:tc>
          <w:tcPr>
            <w:tcW w:w="404" w:type="pct"/>
            <w:shd w:val="clear" w:color="auto" w:fill="FFFFCC"/>
            <w:vAlign w:val="center"/>
          </w:tcPr>
          <w:p w:rsidR="0044081D" w:rsidRPr="00375E1D" w:rsidRDefault="0044081D" w:rsidP="00483A59">
            <w:pPr>
              <w:spacing w:after="0" w:line="240" w:lineRule="auto"/>
              <w:jc w:val="center"/>
              <w:rPr>
                <w:rFonts w:ascii="Times New Roman" w:hAnsi="Times New Roman" w:cs="Times New Roman"/>
                <w:b/>
                <w:sz w:val="20"/>
                <w:szCs w:val="20"/>
                <w:lang w:eastAsia="ru-RU"/>
              </w:rPr>
            </w:pPr>
          </w:p>
        </w:tc>
      </w:tr>
    </w:tbl>
    <w:p w:rsidR="00170252" w:rsidRDefault="00170252" w:rsidP="000820E3">
      <w:pPr>
        <w:rPr>
          <w:rFonts w:ascii="Times New Roman" w:hAnsi="Times New Roman" w:cs="Times New Roman"/>
          <w:b/>
          <w:sz w:val="28"/>
          <w:szCs w:val="28"/>
        </w:rPr>
      </w:pPr>
    </w:p>
    <w:sectPr w:rsidR="00170252" w:rsidSect="0044081D">
      <w:headerReference w:type="first" r:id="rId19"/>
      <w:footerReference w:type="first" r:id="rId20"/>
      <w:pgSz w:w="16838" w:h="11906" w:orient="landscape"/>
      <w:pgMar w:top="1701" w:right="539"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3D" w:rsidRDefault="0056103D">
      <w:pPr>
        <w:spacing w:after="0" w:line="240" w:lineRule="auto"/>
      </w:pPr>
      <w:r>
        <w:separator/>
      </w:r>
    </w:p>
  </w:endnote>
  <w:endnote w:type="continuationSeparator" w:id="0">
    <w:p w:rsidR="0056103D" w:rsidRDefault="0056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E3563" w:rsidRDefault="007E3563">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E356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E3563">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E356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E356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E356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4081D">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3D" w:rsidRDefault="0056103D">
      <w:pPr>
        <w:spacing w:after="0" w:line="240" w:lineRule="auto"/>
      </w:pPr>
      <w:r>
        <w:separator/>
      </w:r>
    </w:p>
  </w:footnote>
  <w:footnote w:type="continuationSeparator" w:id="0">
    <w:p w:rsidR="0056103D" w:rsidRDefault="0056103D">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E3563" w:rsidRDefault="007E3563">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E3563" w:rsidRDefault="007E3563">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E3563" w:rsidRDefault="007E3563">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081D"/>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6103D"/>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E3563"/>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E819-BA8B-49E9-B4AE-761C0026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2022-01-28T06:02:00Z</dcterms:created>
  <dcterms:modified xsi:type="dcterms:W3CDTF">2022-01-28T06:02:00Z</dcterms:modified>
</cp:coreProperties>
</file>