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25.06.2026 № 21.1-03/1361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E652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C010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C010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C010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54"/>
        <w:gridCol w:w="3104"/>
        <w:gridCol w:w="1334"/>
        <w:gridCol w:w="1440"/>
        <w:gridCol w:w="1778"/>
        <w:gridCol w:w="1152"/>
        <w:gridCol w:w="1439"/>
        <w:gridCol w:w="574"/>
        <w:gridCol w:w="1151"/>
        <w:gridCol w:w="1435"/>
        <w:gridCol w:w="750"/>
        <w:gridCol w:w="600"/>
        <w:gridCol w:w="737"/>
      </w:tblGrid>
      <w:tr w:rsidR="0083486F" w:rsidRPr="007C010F" w:rsidTr="0083486F">
        <w:trPr>
          <w:trHeight w:val="402"/>
        </w:trPr>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 п/п</w:t>
            </w:r>
          </w:p>
        </w:tc>
        <w:tc>
          <w:tcPr>
            <w:tcW w:w="973"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Наименование товара, работы, услуги</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Код ОКПД 2/КТРУ</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Наименование характеристики</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Значение характеристики</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Единица измерения</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Инструкция по заполнению</w:t>
            </w:r>
          </w:p>
        </w:tc>
        <w:tc>
          <w:tcPr>
            <w:tcW w:w="180"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Кол-во</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Единица измерения (количество товара, объем работы, услуги по ОКЕИ)</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Страна происхождения Товара</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Ставка НДС%</w:t>
            </w:r>
          </w:p>
        </w:tc>
        <w:tc>
          <w:tcPr>
            <w:tcW w:w="188"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Цена за ед. без НДС</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7C010F" w:rsidRPr="007C010F" w:rsidRDefault="007C010F" w:rsidP="007C010F">
            <w:pPr>
              <w:spacing w:after="0" w:line="240" w:lineRule="auto"/>
              <w:jc w:val="center"/>
              <w:rPr>
                <w:rFonts w:ascii="Times New Roman" w:eastAsia="Times New Roman" w:hAnsi="Times New Roman" w:cs="Times New Roman"/>
                <w:b/>
                <w:color w:val="000000"/>
                <w:sz w:val="16"/>
                <w:szCs w:val="16"/>
                <w:lang w:eastAsia="ru-RU"/>
              </w:rPr>
            </w:pPr>
            <w:r w:rsidRPr="007C010F">
              <w:rPr>
                <w:rFonts w:ascii="Times New Roman" w:eastAsia="Times New Roman" w:hAnsi="Times New Roman" w:cs="Times New Roman"/>
                <w:b/>
                <w:color w:val="000000"/>
                <w:sz w:val="16"/>
                <w:szCs w:val="16"/>
                <w:lang w:eastAsia="ru-RU"/>
              </w:rPr>
              <w:t>Сумма без НДС</w:t>
            </w:r>
          </w:p>
        </w:tc>
      </w:tr>
      <w:tr w:rsidR="0083486F" w:rsidRPr="007C010F" w:rsidTr="00CE7841">
        <w:trPr>
          <w:trHeight w:val="885"/>
        </w:trPr>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rsidR="0083486F" w:rsidRPr="007C010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1</w:t>
            </w:r>
          </w:p>
        </w:tc>
        <w:tc>
          <w:tcPr>
            <w:tcW w:w="973" w:type="pct"/>
            <w:vMerge w:val="restart"/>
            <w:tcBorders>
              <w:top w:val="nil"/>
              <w:left w:val="single" w:sz="4" w:space="0" w:color="auto"/>
              <w:bottom w:val="single" w:sz="4" w:space="0" w:color="auto"/>
              <w:right w:val="single" w:sz="4" w:space="0" w:color="auto"/>
            </w:tcBorders>
            <w:hideMark/>
          </w:tcPr>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Буферный разбавитель образцов ИВД, автоматические/</w:t>
            </w:r>
          </w:p>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полуавтоматические системы</w:t>
            </w:r>
          </w:p>
        </w:tc>
        <w:tc>
          <w:tcPr>
            <w:tcW w:w="418" w:type="pct"/>
            <w:vMerge w:val="restart"/>
            <w:tcBorders>
              <w:top w:val="nil"/>
              <w:left w:val="single" w:sz="4" w:space="0" w:color="auto"/>
              <w:bottom w:val="single" w:sz="4" w:space="0" w:color="000000"/>
              <w:right w:val="single" w:sz="4" w:space="0" w:color="auto"/>
            </w:tcBorders>
            <w:hideMark/>
          </w:tcPr>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p>
          <w:p w:rsidR="0083486F" w:rsidRPr="0083486F" w:rsidRDefault="0083486F" w:rsidP="0083486F">
            <w:pPr>
              <w:spacing w:after="0" w:line="240" w:lineRule="auto"/>
              <w:jc w:val="center"/>
              <w:rPr>
                <w:rFonts w:ascii="Times New Roman" w:eastAsia="Times New Roman" w:hAnsi="Times New Roman" w:cs="Times New Roman"/>
                <w:bCs/>
                <w:color w:val="000000"/>
                <w:sz w:val="16"/>
                <w:szCs w:val="16"/>
                <w:lang w:eastAsia="ru-RU"/>
              </w:rPr>
            </w:pPr>
            <w:r w:rsidRPr="0083486F">
              <w:rPr>
                <w:rFonts w:ascii="Times New Roman" w:eastAsia="Times New Roman" w:hAnsi="Times New Roman" w:cs="Times New Roman"/>
                <w:bCs/>
                <w:color w:val="000000"/>
                <w:sz w:val="16"/>
                <w:szCs w:val="16"/>
                <w:lang w:eastAsia="ru-RU"/>
              </w:rPr>
              <w:t>21.20.23.110-00000019</w:t>
            </w:r>
            <w:r w:rsidR="00CE7841">
              <w:rPr>
                <w:rFonts w:ascii="Times New Roman" w:eastAsia="Times New Roman" w:hAnsi="Times New Roman" w:cs="Times New Roman"/>
                <w:bCs/>
                <w:color w:val="000000"/>
                <w:sz w:val="16"/>
                <w:szCs w:val="16"/>
                <w:lang w:eastAsia="ru-RU"/>
              </w:rPr>
              <w:t>*</w:t>
            </w:r>
          </w:p>
        </w:tc>
        <w:tc>
          <w:tcPr>
            <w:tcW w:w="451" w:type="pct"/>
            <w:tcBorders>
              <w:top w:val="nil"/>
              <w:left w:val="nil"/>
              <w:bottom w:val="single" w:sz="4" w:space="0" w:color="auto"/>
              <w:right w:val="single" w:sz="4" w:space="0" w:color="auto"/>
            </w:tcBorders>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Объем реагента</w:t>
            </w:r>
          </w:p>
        </w:tc>
        <w:tc>
          <w:tcPr>
            <w:tcW w:w="557" w:type="pct"/>
            <w:tcBorders>
              <w:top w:val="nil"/>
              <w:left w:val="nil"/>
              <w:bottom w:val="single" w:sz="4" w:space="0" w:color="auto"/>
              <w:right w:val="single" w:sz="4" w:space="0" w:color="auto"/>
            </w:tcBorders>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 100  и  ≤ 930</w:t>
            </w:r>
          </w:p>
        </w:tc>
        <w:tc>
          <w:tcPr>
            <w:tcW w:w="361" w:type="pct"/>
            <w:tcBorders>
              <w:top w:val="nil"/>
              <w:left w:val="nil"/>
              <w:bottom w:val="single" w:sz="4" w:space="0" w:color="auto"/>
              <w:right w:val="single" w:sz="4" w:space="0" w:color="auto"/>
            </w:tcBorders>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Кубический сантиметр; миллилитр</w:t>
            </w:r>
          </w:p>
        </w:tc>
        <w:tc>
          <w:tcPr>
            <w:tcW w:w="451" w:type="pct"/>
            <w:tcBorders>
              <w:top w:val="nil"/>
              <w:left w:val="nil"/>
              <w:bottom w:val="single" w:sz="4" w:space="0" w:color="auto"/>
              <w:right w:val="single" w:sz="4" w:space="0" w:color="auto"/>
            </w:tcBorders>
            <w:shd w:val="clear" w:color="auto" w:fill="auto"/>
            <w:vAlign w:val="center"/>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80" w:type="pct"/>
            <w:vMerge w:val="restart"/>
            <w:tcBorders>
              <w:top w:val="nil"/>
              <w:left w:val="single" w:sz="4" w:space="0" w:color="auto"/>
              <w:bottom w:val="single" w:sz="4" w:space="0" w:color="auto"/>
              <w:right w:val="single" w:sz="4" w:space="0" w:color="auto"/>
            </w:tcBorders>
            <w:shd w:val="clear" w:color="auto" w:fill="auto"/>
            <w:vAlign w:val="center"/>
            <w:hideMark/>
          </w:tcPr>
          <w:p w:rsidR="0083486F" w:rsidRPr="007C010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1</w:t>
            </w:r>
          </w:p>
        </w:tc>
        <w:tc>
          <w:tcPr>
            <w:tcW w:w="361" w:type="pct"/>
            <w:vMerge w:val="restart"/>
            <w:tcBorders>
              <w:top w:val="nil"/>
              <w:left w:val="single" w:sz="4" w:space="0" w:color="auto"/>
              <w:bottom w:val="single" w:sz="4" w:space="0" w:color="auto"/>
              <w:right w:val="single" w:sz="4" w:space="0" w:color="auto"/>
            </w:tcBorders>
            <w:shd w:val="clear" w:color="auto" w:fill="auto"/>
            <w:vAlign w:val="center"/>
            <w:hideMark/>
          </w:tcPr>
          <w:p w:rsidR="0083486F" w:rsidRPr="007C010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штука</w:t>
            </w:r>
          </w:p>
        </w:tc>
        <w:tc>
          <w:tcPr>
            <w:tcW w:w="45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486F" w:rsidRPr="007C010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486F" w:rsidRPr="007C010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1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486F" w:rsidRPr="007C010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83486F" w:rsidRPr="007C010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51" w:type="pct"/>
            <w:tcBorders>
              <w:top w:val="single" w:sz="4" w:space="0" w:color="auto"/>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Назначение</w:t>
            </w:r>
          </w:p>
        </w:tc>
        <w:tc>
          <w:tcPr>
            <w:tcW w:w="557" w:type="pct"/>
            <w:tcBorders>
              <w:top w:val="single" w:sz="4" w:space="0" w:color="auto"/>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Для анализаторов серии ARCHITECT</w:t>
            </w:r>
          </w:p>
        </w:tc>
        <w:tc>
          <w:tcPr>
            <w:tcW w:w="361" w:type="pct"/>
            <w:tcBorders>
              <w:top w:val="single" w:sz="4" w:space="0" w:color="auto"/>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Разбавляемые жидкости</w:t>
            </w:r>
          </w:p>
        </w:tc>
        <w:tc>
          <w:tcPr>
            <w:tcW w:w="557" w:type="pct"/>
            <w:tcBorders>
              <w:top w:val="nil"/>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Сыворотка крови</w:t>
            </w:r>
          </w:p>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Плазма крови</w:t>
            </w:r>
          </w:p>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Цельная кровь</w:t>
            </w:r>
          </w:p>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Моча</w:t>
            </w:r>
          </w:p>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Кал</w:t>
            </w:r>
          </w:p>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Спинномозговая жидкость</w:t>
            </w:r>
          </w:p>
        </w:tc>
        <w:tc>
          <w:tcPr>
            <w:tcW w:w="361" w:type="pct"/>
            <w:tcBorders>
              <w:top w:val="nil"/>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Совместимость</w:t>
            </w:r>
          </w:p>
        </w:tc>
        <w:tc>
          <w:tcPr>
            <w:tcW w:w="557" w:type="pct"/>
            <w:tcBorders>
              <w:top w:val="nil"/>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Совместим с иммунохимическим автоматическим анализатором ARCHITECT i1000, имеющимся у Заказчика, не вызывает сбоев в работе анализатора, не снижает достоверность результатов исследований</w:t>
            </w:r>
          </w:p>
        </w:tc>
        <w:tc>
          <w:tcPr>
            <w:tcW w:w="361" w:type="pct"/>
            <w:tcBorders>
              <w:top w:val="nil"/>
              <w:left w:val="nil"/>
              <w:bottom w:val="single" w:sz="4" w:space="0" w:color="auto"/>
              <w:right w:val="single" w:sz="4" w:space="0" w:color="auto"/>
            </w:tcBorders>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83486F" w:rsidRPr="0083486F" w:rsidRDefault="0083486F" w:rsidP="0083486F">
            <w:pPr>
              <w:spacing w:after="0" w:line="240" w:lineRule="auto"/>
              <w:jc w:val="center"/>
              <w:rPr>
                <w:rFonts w:ascii="Times New Roman" w:eastAsia="Times New Roman" w:hAnsi="Times New Roman" w:cs="Times New Roman"/>
                <w:color w:val="000000"/>
                <w:sz w:val="16"/>
                <w:szCs w:val="16"/>
                <w:lang w:eastAsia="ru-RU"/>
              </w:rPr>
            </w:pPr>
            <w:r w:rsidRPr="0083486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83486F" w:rsidRPr="007C010F" w:rsidRDefault="0083486F" w:rsidP="0083486F">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D665B4">
            <w:pPr>
              <w:spacing w:after="0" w:line="240" w:lineRule="auto"/>
              <w:jc w:val="right"/>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2</w:t>
            </w:r>
          </w:p>
        </w:tc>
        <w:tc>
          <w:tcPr>
            <w:tcW w:w="973" w:type="pct"/>
            <w:vMerge w:val="restart"/>
            <w:tcBorders>
              <w:top w:val="nil"/>
              <w:left w:val="single" w:sz="4" w:space="0" w:color="auto"/>
              <w:bottom w:val="single" w:sz="4" w:space="0" w:color="000000"/>
              <w:right w:val="single" w:sz="4" w:space="0" w:color="auto"/>
            </w:tcBorders>
            <w:shd w:val="clear" w:color="auto" w:fill="auto"/>
            <w:vAlign w:val="center"/>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Промывающий буфер</w:t>
            </w:r>
          </w:p>
        </w:tc>
        <w:tc>
          <w:tcPr>
            <w:tcW w:w="418" w:type="pct"/>
            <w:vMerge w:val="restart"/>
            <w:tcBorders>
              <w:top w:val="nil"/>
              <w:left w:val="single" w:sz="4" w:space="0" w:color="auto"/>
              <w:bottom w:val="single" w:sz="4" w:space="0" w:color="000000"/>
              <w:right w:val="single" w:sz="4" w:space="0" w:color="auto"/>
            </w:tcBorders>
            <w:shd w:val="clear" w:color="auto" w:fill="auto"/>
            <w:vAlign w:val="center"/>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21.20.23.110</w:t>
            </w: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Назначение</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Промывающий буфер представляет собой солевой раствор фосфатного буфера</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12</w:t>
            </w:r>
          </w:p>
        </w:tc>
        <w:tc>
          <w:tcPr>
            <w:tcW w:w="361"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упак</w:t>
            </w:r>
          </w:p>
        </w:tc>
        <w:tc>
          <w:tcPr>
            <w:tcW w:w="45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1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Фасовка</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Не менее 4 флаконов  х 975мл</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80"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Консерванты</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антимикробные агенты. Предназначен для промывки рабочих емкостей, ячеек и соединительных трубок анализатора</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Совместимость</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Совместим с автоматическим иммунохимическим анализатором ARCHITECT i1000 имеющимся у заказчика, не вызывает сбоев в работе анализатора, не снижает достоверность результатов исследований</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D665B4">
            <w:pPr>
              <w:spacing w:after="0" w:line="240" w:lineRule="auto"/>
              <w:jc w:val="right"/>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3</w:t>
            </w:r>
          </w:p>
        </w:tc>
        <w:tc>
          <w:tcPr>
            <w:tcW w:w="973" w:type="pct"/>
            <w:vMerge w:val="restart"/>
            <w:tcBorders>
              <w:top w:val="nil"/>
              <w:left w:val="single" w:sz="4" w:space="0" w:color="auto"/>
              <w:bottom w:val="single" w:sz="4" w:space="0" w:color="000000"/>
              <w:right w:val="single" w:sz="4" w:space="0" w:color="auto"/>
            </w:tcBorders>
            <w:shd w:val="clear" w:color="auto" w:fill="auto"/>
            <w:vAlign w:val="center"/>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xml:space="preserve">Реагент для ухода за зондом  </w:t>
            </w:r>
          </w:p>
        </w:tc>
        <w:tc>
          <w:tcPr>
            <w:tcW w:w="418" w:type="pct"/>
            <w:vMerge w:val="restart"/>
            <w:tcBorders>
              <w:top w:val="nil"/>
              <w:left w:val="single" w:sz="4" w:space="0" w:color="auto"/>
              <w:bottom w:val="single" w:sz="4" w:space="0" w:color="000000"/>
              <w:right w:val="single" w:sz="4" w:space="0" w:color="auto"/>
            </w:tcBorders>
            <w:shd w:val="clear" w:color="auto" w:fill="auto"/>
            <w:vAlign w:val="center"/>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21.20.23.110</w:t>
            </w: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Назначение</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Медицинское изделие используется при проведении ежедневной процедуры техобслуживания дозирующей иглы пипетора</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1</w:t>
            </w:r>
          </w:p>
        </w:tc>
        <w:tc>
          <w:tcPr>
            <w:tcW w:w="361"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упак</w:t>
            </w:r>
          </w:p>
        </w:tc>
        <w:tc>
          <w:tcPr>
            <w:tcW w:w="45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1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Совместимость</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Совместим с автоматическим иммунохимическим анализатором ARCHITECT i1000 имеющимся у заказчика, не вызывает сбоев в работе анализатора, не снижает достоверность результатов исследований:</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Фасовка</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Не менее 4 флаконов х25мл</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80"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D665B4">
            <w:pPr>
              <w:spacing w:after="0" w:line="240" w:lineRule="auto"/>
              <w:jc w:val="right"/>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4</w:t>
            </w:r>
          </w:p>
        </w:tc>
        <w:tc>
          <w:tcPr>
            <w:tcW w:w="973" w:type="pct"/>
            <w:vMerge w:val="restart"/>
            <w:tcBorders>
              <w:top w:val="nil"/>
              <w:left w:val="single" w:sz="4" w:space="0" w:color="auto"/>
              <w:bottom w:val="single" w:sz="4" w:space="0" w:color="000000"/>
              <w:right w:val="single" w:sz="4" w:space="0" w:color="auto"/>
            </w:tcBorders>
            <w:shd w:val="clear" w:color="auto" w:fill="auto"/>
            <w:vAlign w:val="center"/>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Щелочной промывающий раствор</w:t>
            </w:r>
          </w:p>
        </w:tc>
        <w:tc>
          <w:tcPr>
            <w:tcW w:w="418" w:type="pct"/>
            <w:vMerge w:val="restart"/>
            <w:tcBorders>
              <w:top w:val="nil"/>
              <w:left w:val="single" w:sz="4" w:space="0" w:color="auto"/>
              <w:bottom w:val="single" w:sz="4" w:space="0" w:color="000000"/>
              <w:right w:val="single" w:sz="4" w:space="0" w:color="auto"/>
            </w:tcBorders>
            <w:shd w:val="clear" w:color="auto" w:fill="auto"/>
            <w:vAlign w:val="center"/>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21.20.23.110</w:t>
            </w: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Назначение</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Раствор, предназначен для автоматической промывки кварцевых кювет системы Architect</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5</w:t>
            </w:r>
          </w:p>
        </w:tc>
        <w:tc>
          <w:tcPr>
            <w:tcW w:w="361" w:type="pct"/>
            <w:vMerge w:val="restart"/>
            <w:tcBorders>
              <w:top w:val="nil"/>
              <w:left w:val="single" w:sz="4" w:space="0" w:color="auto"/>
              <w:bottom w:val="single" w:sz="4" w:space="0" w:color="auto"/>
              <w:right w:val="single" w:sz="4" w:space="0" w:color="auto"/>
            </w:tcBorders>
            <w:shd w:val="clear" w:color="auto" w:fill="auto"/>
            <w:vAlign w:val="center"/>
            <w:hideMark/>
          </w:tcPr>
          <w:p w:rsidR="007C010F" w:rsidRPr="007C010F"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упак</w:t>
            </w:r>
          </w:p>
        </w:tc>
        <w:tc>
          <w:tcPr>
            <w:tcW w:w="45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18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c>
          <w:tcPr>
            <w:tcW w:w="23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C010F" w:rsidRPr="007C010F" w:rsidRDefault="007C010F" w:rsidP="00D665B4">
            <w:pPr>
              <w:spacing w:after="0" w:line="240" w:lineRule="auto"/>
              <w:jc w:val="center"/>
              <w:rPr>
                <w:rFonts w:ascii="Times New Roman" w:eastAsia="Times New Roman" w:hAnsi="Times New Roman" w:cs="Times New Roman"/>
                <w:color w:val="000000"/>
                <w:sz w:val="16"/>
                <w:szCs w:val="16"/>
                <w:lang w:eastAsia="ru-RU"/>
              </w:rPr>
            </w:pPr>
            <w:r w:rsidRPr="007C010F">
              <w:rPr>
                <w:rFonts w:ascii="Times New Roman" w:eastAsia="Times New Roman" w:hAnsi="Times New Roman" w:cs="Times New Roman"/>
                <w:color w:val="000000"/>
                <w:sz w:val="16"/>
                <w:szCs w:val="16"/>
                <w:lang w:eastAsia="ru-RU"/>
              </w:rPr>
              <w:t> </w:t>
            </w: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Совместимость</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Совместим с 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80"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r>
      <w:tr w:rsidR="0083486F" w:rsidRPr="007C010F" w:rsidTr="0083486F">
        <w:trPr>
          <w:trHeight w:val="402"/>
        </w:trPr>
        <w:tc>
          <w:tcPr>
            <w:tcW w:w="142"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973"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1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Фасовка</w:t>
            </w:r>
          </w:p>
        </w:tc>
        <w:tc>
          <w:tcPr>
            <w:tcW w:w="557"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Не менее 2флаконов х500 мл</w:t>
            </w:r>
          </w:p>
        </w:tc>
        <w:tc>
          <w:tcPr>
            <w:tcW w:w="36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p>
        </w:tc>
        <w:tc>
          <w:tcPr>
            <w:tcW w:w="451" w:type="pct"/>
            <w:tcBorders>
              <w:top w:val="nil"/>
              <w:left w:val="nil"/>
              <w:bottom w:val="single" w:sz="4" w:space="0" w:color="auto"/>
              <w:right w:val="single" w:sz="4" w:space="0" w:color="auto"/>
            </w:tcBorders>
            <w:shd w:val="clear" w:color="auto" w:fill="auto"/>
            <w:vAlign w:val="center"/>
            <w:hideMark/>
          </w:tcPr>
          <w:p w:rsidR="007C010F" w:rsidRPr="00CE7841" w:rsidRDefault="007C010F" w:rsidP="00CE7841">
            <w:pPr>
              <w:spacing w:after="0" w:line="240" w:lineRule="auto"/>
              <w:jc w:val="center"/>
              <w:rPr>
                <w:rFonts w:ascii="Times New Roman" w:eastAsia="Times New Roman" w:hAnsi="Times New Roman" w:cs="Times New Roman"/>
                <w:color w:val="000000"/>
                <w:sz w:val="16"/>
                <w:szCs w:val="16"/>
                <w:lang w:eastAsia="ru-RU"/>
              </w:rPr>
            </w:pPr>
            <w:r w:rsidRPr="00CE784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80"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361" w:type="pct"/>
            <w:vMerge/>
            <w:tcBorders>
              <w:top w:val="nil"/>
              <w:left w:val="single" w:sz="4" w:space="0" w:color="auto"/>
              <w:bottom w:val="single" w:sz="4" w:space="0" w:color="auto"/>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450"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188"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7C010F" w:rsidRPr="007C010F" w:rsidRDefault="007C010F" w:rsidP="00D665B4">
            <w:pPr>
              <w:spacing w:after="0" w:line="240" w:lineRule="auto"/>
              <w:rPr>
                <w:rFonts w:ascii="Times New Roman" w:eastAsia="Times New Roman" w:hAnsi="Times New Roman" w:cs="Times New Roman"/>
                <w:color w:val="000000"/>
                <w:sz w:val="16"/>
                <w:szCs w:val="16"/>
                <w:lang w:eastAsia="ru-RU"/>
              </w:rPr>
            </w:pPr>
          </w:p>
        </w:tc>
      </w:tr>
    </w:tbl>
    <w:p w:rsidR="00CE7841" w:rsidRDefault="007C010F" w:rsidP="007C010F">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ab/>
      </w:r>
    </w:p>
    <w:p w:rsidR="007C010F" w:rsidRDefault="007C010F" w:rsidP="007C010F">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7C010F" w:rsidRDefault="007C010F" w:rsidP="007C010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Требовани</w:t>
      </w:r>
      <w:r>
        <w:rPr>
          <w:rFonts w:ascii="Times New Roman" w:eastAsia="Times New Roman" w:hAnsi="Times New Roman" w:cs="Times New Roman"/>
          <w:b/>
          <w:bCs/>
          <w:i/>
          <w:color w:val="000000"/>
          <w:lang w:eastAsia="ru-RU"/>
        </w:rPr>
        <w:t>я к исполнению контракта в части исключения рисков претензий правообладателей к Заказчику по всем Товарам</w:t>
      </w:r>
      <w:r w:rsidRPr="006D1D70">
        <w:rPr>
          <w:rFonts w:ascii="Times New Roman" w:eastAsia="Times New Roman" w:hAnsi="Times New Roman" w:cs="Times New Roman"/>
          <w:b/>
          <w:bCs/>
          <w:i/>
          <w:color w:val="000000"/>
          <w:lang w:eastAsia="ru-RU"/>
        </w:rPr>
        <w:t>:</w:t>
      </w:r>
    </w:p>
    <w:p w:rsidR="007C010F" w:rsidRPr="006D1D70" w:rsidRDefault="007C010F" w:rsidP="007C010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Pr>
          <w:rFonts w:ascii="Times New Roman" w:eastAsia="Times New Roman" w:hAnsi="Times New Roman" w:cs="Times New Roman"/>
          <w:b/>
          <w:bCs/>
          <w:i/>
          <w:color w:val="000000"/>
          <w:lang w:eastAsia="ru-RU"/>
        </w:rPr>
        <w:t xml:space="preserve"> </w:t>
      </w:r>
      <w:r w:rsidRPr="006D1D70">
        <w:rPr>
          <w:rFonts w:ascii="Times New Roman" w:eastAsia="Times New Roman" w:hAnsi="Times New Roman" w:cs="Times New Roman"/>
          <w:b/>
          <w:bCs/>
          <w:i/>
          <w:color w:val="000000"/>
          <w:lang w:eastAsia="ru-RU"/>
        </w:rPr>
        <w:t>Наличие письменного согласия правообладателя товарного знака поставляемого товара на его использование Поставщиком на территории Российской Федерации, включая реализацию медицинских изделий, с указанием:</w:t>
      </w:r>
    </w:p>
    <w:p w:rsidR="007C010F" w:rsidRPr="006D1D70" w:rsidRDefault="007C010F" w:rsidP="007C010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правообладателя;</w:t>
      </w:r>
    </w:p>
    <w:p w:rsidR="007C010F" w:rsidRPr="006D1D70" w:rsidRDefault="007C010F" w:rsidP="007C010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Поставщика;</w:t>
      </w:r>
    </w:p>
    <w:p w:rsidR="007C010F" w:rsidRPr="006D1D70" w:rsidRDefault="007C010F" w:rsidP="007C010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•перечня товаров, на которые распространяется согласие;</w:t>
      </w:r>
    </w:p>
    <w:p w:rsidR="007C010F" w:rsidRPr="006D1D70" w:rsidRDefault="007C010F" w:rsidP="007C010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•территории, на которой допускается использование товарного знака;</w:t>
      </w:r>
    </w:p>
    <w:p w:rsidR="007C010F" w:rsidRDefault="007C010F" w:rsidP="007C010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•срока действия согласия.</w:t>
      </w:r>
    </w:p>
    <w:p w:rsidR="007C010F" w:rsidRDefault="007C010F" w:rsidP="007C010F">
      <w:pPr>
        <w:rPr>
          <w:rFonts w:ascii="Times New Roman" w:hAnsi="Times New Roman" w:cs="Times New Roman"/>
          <w:b/>
          <w:sz w:val="28"/>
          <w:szCs w:val="28"/>
        </w:rPr>
      </w:pPr>
    </w:p>
    <w:p w:rsidR="00170252" w:rsidRDefault="00170252" w:rsidP="007C010F">
      <w:pPr>
        <w:tabs>
          <w:tab w:val="left" w:pos="2045"/>
        </w:tabs>
        <w:rPr>
          <w:rFonts w:ascii="Times New Roman" w:hAnsi="Times New Roman" w:cs="Times New Roman"/>
          <w:b/>
          <w:sz w:val="28"/>
          <w:szCs w:val="28"/>
        </w:rPr>
      </w:pPr>
    </w:p>
    <w:sectPr w:rsidR="00170252" w:rsidSect="007C010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C03" w:rsidRDefault="00644C03">
      <w:pPr>
        <w:spacing w:after="0" w:line="240" w:lineRule="auto"/>
      </w:pPr>
      <w:r>
        <w:separator/>
      </w:r>
    </w:p>
  </w:endnote>
  <w:endnote w:type="continuationSeparator" w:id="0">
    <w:p w:rsidR="00644C03" w:rsidRDefault="0064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52B" w:rsidRDefault="00AE652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652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E652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E652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652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E784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E652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E784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C03" w:rsidRDefault="00644C03">
      <w:pPr>
        <w:spacing w:after="0" w:line="240" w:lineRule="auto"/>
      </w:pPr>
      <w:r>
        <w:separator/>
      </w:r>
    </w:p>
  </w:footnote>
  <w:footnote w:type="continuationSeparator" w:id="0">
    <w:p w:rsidR="00644C03" w:rsidRDefault="00644C0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52B" w:rsidRDefault="00AE652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52B" w:rsidRDefault="00AE652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E652B" w:rsidRDefault="00AE652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4C03"/>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010F"/>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3486F"/>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652B"/>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7841"/>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ECCE-FF3A-4ACA-BBE9-17B7240B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2026-06-25T05:41:00Z</dcterms:created>
  <dcterms:modified xsi:type="dcterms:W3CDTF">2026-06-25T05:41:00Z</dcterms:modified>
</cp:coreProperties>
</file>