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25.02.2026 № 21.1-03/257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7C75B8">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13.03.2026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B086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страхованию риска возникновения непредвиденных расходов по локализации и ликвидации последствий чрезвычайных ситуаций</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28.04.2026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Договор страхования, страховой полис, правила страхования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на осуществление страховой деятельности в части добровольного имущественного страхования</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horzAnchor="margin" w:tblpY="132"/>
        <w:tblW w:w="1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7191"/>
        <w:gridCol w:w="708"/>
        <w:gridCol w:w="982"/>
        <w:gridCol w:w="1448"/>
        <w:gridCol w:w="1031"/>
        <w:gridCol w:w="1358"/>
        <w:gridCol w:w="1358"/>
        <w:gridCol w:w="1297"/>
      </w:tblGrid>
      <w:tr w:rsidR="007C75B8" w:rsidRPr="004B544F" w:rsidTr="00D27B73">
        <w:trPr>
          <w:trHeight w:val="20"/>
        </w:trPr>
        <w:tc>
          <w:tcPr>
            <w:tcW w:w="702" w:type="dxa"/>
            <w:hideMark/>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 п/п</w:t>
            </w:r>
          </w:p>
        </w:tc>
        <w:tc>
          <w:tcPr>
            <w:tcW w:w="7191" w:type="dxa"/>
            <w:hideMark/>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rPr>
              <w:t>Наименование товара / услуги, технические характеристики</w:t>
            </w:r>
          </w:p>
        </w:tc>
        <w:tc>
          <w:tcPr>
            <w:tcW w:w="708" w:type="dxa"/>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Кол-во</w:t>
            </w:r>
          </w:p>
        </w:tc>
        <w:tc>
          <w:tcPr>
            <w:tcW w:w="982" w:type="dxa"/>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Ед. изм.</w:t>
            </w:r>
          </w:p>
        </w:tc>
        <w:tc>
          <w:tcPr>
            <w:tcW w:w="1448" w:type="dxa"/>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ОКПД2/</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КТРУ</w:t>
            </w:r>
          </w:p>
        </w:tc>
        <w:tc>
          <w:tcPr>
            <w:tcW w:w="1031" w:type="dxa"/>
            <w:shd w:val="clear" w:color="auto" w:fill="FFFFCC"/>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НДС</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w:t>
            </w:r>
          </w:p>
        </w:tc>
        <w:tc>
          <w:tcPr>
            <w:tcW w:w="1358" w:type="dxa"/>
            <w:shd w:val="clear" w:color="auto" w:fill="FFFFCC"/>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НДС</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(руб.)</w:t>
            </w:r>
          </w:p>
        </w:tc>
        <w:tc>
          <w:tcPr>
            <w:tcW w:w="1358" w:type="dxa"/>
            <w:shd w:val="clear" w:color="auto" w:fill="FFFFCC"/>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 xml:space="preserve">Цена за ед. </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с НДС</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(руб.)</w:t>
            </w:r>
          </w:p>
        </w:tc>
        <w:tc>
          <w:tcPr>
            <w:tcW w:w="1297" w:type="dxa"/>
            <w:shd w:val="clear" w:color="auto" w:fill="FFFFCC"/>
          </w:tcPr>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Сумма</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с НДС</w:t>
            </w:r>
          </w:p>
          <w:p w:rsidR="007C75B8" w:rsidRPr="004B544F" w:rsidRDefault="007C75B8" w:rsidP="00D27B73">
            <w:pPr>
              <w:spacing w:after="0" w:line="240" w:lineRule="auto"/>
              <w:jc w:val="center"/>
              <w:rPr>
                <w:rFonts w:ascii="Times New Roman" w:hAnsi="Times New Roman" w:cs="Times New Roman"/>
                <w:b/>
                <w:sz w:val="20"/>
                <w:szCs w:val="20"/>
                <w:lang w:eastAsia="ru-RU"/>
              </w:rPr>
            </w:pPr>
            <w:r w:rsidRPr="004B544F">
              <w:rPr>
                <w:rFonts w:ascii="Times New Roman" w:hAnsi="Times New Roman" w:cs="Times New Roman"/>
                <w:b/>
                <w:sz w:val="20"/>
                <w:szCs w:val="20"/>
                <w:lang w:eastAsia="ru-RU"/>
              </w:rPr>
              <w:t>(руб.)</w:t>
            </w:r>
          </w:p>
        </w:tc>
      </w:tr>
      <w:tr w:rsidR="007C75B8" w:rsidRPr="004B544F" w:rsidTr="00D27B73">
        <w:trPr>
          <w:trHeight w:val="521"/>
        </w:trPr>
        <w:tc>
          <w:tcPr>
            <w:tcW w:w="702" w:type="dxa"/>
          </w:tcPr>
          <w:p w:rsidR="007C75B8" w:rsidRPr="004B544F" w:rsidRDefault="007C75B8" w:rsidP="00D27B73">
            <w:pPr>
              <w:spacing w:after="0" w:line="240" w:lineRule="auto"/>
              <w:jc w:val="center"/>
              <w:rPr>
                <w:rFonts w:ascii="Times New Roman" w:hAnsi="Times New Roman" w:cs="Times New Roman"/>
                <w:sz w:val="20"/>
                <w:szCs w:val="20"/>
                <w:lang w:eastAsia="ru-RU"/>
              </w:rPr>
            </w:pPr>
            <w:r w:rsidRPr="004B544F">
              <w:rPr>
                <w:rFonts w:ascii="Times New Roman" w:hAnsi="Times New Roman" w:cs="Times New Roman"/>
                <w:sz w:val="20"/>
                <w:szCs w:val="20"/>
                <w:lang w:eastAsia="ru-RU"/>
              </w:rPr>
              <w:t>1.1</w:t>
            </w:r>
          </w:p>
        </w:tc>
        <w:tc>
          <w:tcPr>
            <w:tcW w:w="7191" w:type="dxa"/>
          </w:tcPr>
          <w:p w:rsidR="007C75B8" w:rsidRDefault="007C75B8" w:rsidP="00D27B73">
            <w:pPr>
              <w:spacing w:after="0" w:line="240" w:lineRule="auto"/>
              <w:rPr>
                <w:rFonts w:ascii="Times New Roman" w:hAnsi="Times New Roman" w:cs="Times New Roman"/>
                <w:sz w:val="20"/>
                <w:szCs w:val="20"/>
              </w:rPr>
            </w:pPr>
            <w:r>
              <w:rPr>
                <w:rFonts w:ascii="Times New Roman" w:hAnsi="Times New Roman" w:cs="Times New Roman"/>
                <w:sz w:val="20"/>
                <w:szCs w:val="20"/>
              </w:rPr>
              <w:t>Оказание услуг по с</w:t>
            </w:r>
            <w:r w:rsidRPr="00C82381">
              <w:rPr>
                <w:rFonts w:ascii="Times New Roman" w:hAnsi="Times New Roman" w:cs="Times New Roman"/>
                <w:sz w:val="20"/>
                <w:szCs w:val="20"/>
              </w:rPr>
              <w:t>траховани</w:t>
            </w:r>
            <w:r>
              <w:rPr>
                <w:rFonts w:ascii="Times New Roman" w:hAnsi="Times New Roman" w:cs="Times New Roman"/>
                <w:sz w:val="20"/>
                <w:szCs w:val="20"/>
              </w:rPr>
              <w:t xml:space="preserve">ю </w:t>
            </w:r>
            <w:r w:rsidRPr="00C82381">
              <w:rPr>
                <w:rFonts w:ascii="Times New Roman" w:hAnsi="Times New Roman" w:cs="Times New Roman"/>
                <w:sz w:val="20"/>
                <w:szCs w:val="20"/>
              </w:rPr>
              <w:t>непредвиденных расходов по локализации и ликвидации чрезвычайных ситуаций</w:t>
            </w:r>
          </w:p>
          <w:p w:rsidR="007C75B8" w:rsidRPr="00D93DD8" w:rsidRDefault="007C75B8" w:rsidP="00D27B73">
            <w:pPr>
              <w:spacing w:after="0" w:line="240" w:lineRule="auto"/>
              <w:rPr>
                <w:rFonts w:ascii="Times New Roman" w:hAnsi="Times New Roman" w:cs="Times New Roman"/>
                <w:sz w:val="20"/>
                <w:szCs w:val="20"/>
              </w:rPr>
            </w:pPr>
          </w:p>
        </w:tc>
        <w:tc>
          <w:tcPr>
            <w:tcW w:w="708" w:type="dxa"/>
          </w:tcPr>
          <w:p w:rsidR="007C75B8" w:rsidRPr="004B544F" w:rsidRDefault="007C75B8" w:rsidP="00D27B73">
            <w:pPr>
              <w:spacing w:after="0" w:line="240" w:lineRule="auto"/>
              <w:jc w:val="center"/>
              <w:rPr>
                <w:rFonts w:ascii="Times New Roman" w:hAnsi="Times New Roman" w:cs="Times New Roman"/>
                <w:color w:val="000000"/>
                <w:sz w:val="20"/>
                <w:szCs w:val="20"/>
                <w:lang w:eastAsia="ru-RU"/>
              </w:rPr>
            </w:pPr>
            <w:r>
              <w:rPr>
                <w:rFonts w:ascii="Times New Roman" w:hAnsi="Times New Roman" w:cs="Times New Roman"/>
                <w:color w:val="000000"/>
                <w:sz w:val="20"/>
                <w:szCs w:val="20"/>
                <w:lang w:eastAsia="ru-RU"/>
              </w:rPr>
              <w:t>1</w:t>
            </w:r>
          </w:p>
        </w:tc>
        <w:tc>
          <w:tcPr>
            <w:tcW w:w="982" w:type="dxa"/>
          </w:tcPr>
          <w:p w:rsidR="007C75B8" w:rsidRPr="004B544F" w:rsidRDefault="007C75B8" w:rsidP="00D27B73">
            <w:pPr>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Усл.ед.</w:t>
            </w:r>
          </w:p>
        </w:tc>
        <w:tc>
          <w:tcPr>
            <w:tcW w:w="1448" w:type="dxa"/>
          </w:tcPr>
          <w:p w:rsidR="007C75B8" w:rsidRPr="004B544F" w:rsidRDefault="007C75B8" w:rsidP="00D27B73">
            <w:pPr>
              <w:spacing w:after="0" w:line="240" w:lineRule="auto"/>
              <w:jc w:val="center"/>
              <w:rPr>
                <w:rFonts w:ascii="Times New Roman" w:hAnsi="Times New Roman" w:cs="Times New Roman"/>
                <w:sz w:val="20"/>
                <w:szCs w:val="20"/>
              </w:rPr>
            </w:pPr>
            <w:r w:rsidRPr="00C82381">
              <w:rPr>
                <w:rFonts w:ascii="Times New Roman" w:hAnsi="Times New Roman" w:cs="Times New Roman"/>
                <w:sz w:val="20"/>
                <w:szCs w:val="20"/>
              </w:rPr>
              <w:t>65.12.90.000</w:t>
            </w:r>
          </w:p>
        </w:tc>
        <w:tc>
          <w:tcPr>
            <w:tcW w:w="1031" w:type="dxa"/>
            <w:shd w:val="clear" w:color="auto" w:fill="FFFFCC"/>
          </w:tcPr>
          <w:p w:rsidR="007C75B8" w:rsidRPr="004B544F" w:rsidRDefault="007C75B8" w:rsidP="00D27B73">
            <w:pPr>
              <w:spacing w:after="0" w:line="240" w:lineRule="auto"/>
              <w:jc w:val="center"/>
              <w:rPr>
                <w:rFonts w:ascii="Times New Roman" w:hAnsi="Times New Roman" w:cs="Times New Roman"/>
                <w:sz w:val="20"/>
                <w:szCs w:val="20"/>
                <w:lang w:eastAsia="ru-RU"/>
              </w:rPr>
            </w:pPr>
          </w:p>
        </w:tc>
        <w:tc>
          <w:tcPr>
            <w:tcW w:w="1358" w:type="dxa"/>
            <w:shd w:val="clear" w:color="auto" w:fill="FFFFCC"/>
          </w:tcPr>
          <w:p w:rsidR="007C75B8" w:rsidRPr="004B544F" w:rsidRDefault="007C75B8" w:rsidP="00D27B73">
            <w:pPr>
              <w:spacing w:after="0" w:line="240" w:lineRule="auto"/>
              <w:jc w:val="center"/>
              <w:rPr>
                <w:rFonts w:ascii="Times New Roman" w:hAnsi="Times New Roman" w:cs="Times New Roman"/>
                <w:sz w:val="20"/>
                <w:szCs w:val="20"/>
                <w:lang w:eastAsia="ru-RU"/>
              </w:rPr>
            </w:pPr>
          </w:p>
        </w:tc>
        <w:tc>
          <w:tcPr>
            <w:tcW w:w="1358" w:type="dxa"/>
            <w:shd w:val="clear" w:color="auto" w:fill="FFFFCC"/>
          </w:tcPr>
          <w:p w:rsidR="007C75B8" w:rsidRPr="004B544F" w:rsidRDefault="007C75B8" w:rsidP="00D27B73">
            <w:pPr>
              <w:spacing w:after="0" w:line="240" w:lineRule="auto"/>
              <w:jc w:val="center"/>
              <w:rPr>
                <w:rFonts w:ascii="Times New Roman" w:hAnsi="Times New Roman" w:cs="Times New Roman"/>
                <w:sz w:val="20"/>
                <w:szCs w:val="20"/>
                <w:lang w:eastAsia="ru-RU"/>
              </w:rPr>
            </w:pPr>
          </w:p>
        </w:tc>
        <w:tc>
          <w:tcPr>
            <w:tcW w:w="1297" w:type="dxa"/>
            <w:shd w:val="clear" w:color="auto" w:fill="FFFFCC"/>
          </w:tcPr>
          <w:p w:rsidR="007C75B8" w:rsidRPr="004B544F" w:rsidRDefault="007C75B8" w:rsidP="00D27B73">
            <w:pPr>
              <w:spacing w:after="0" w:line="240" w:lineRule="auto"/>
              <w:jc w:val="center"/>
              <w:rPr>
                <w:rFonts w:ascii="Times New Roman" w:hAnsi="Times New Roman" w:cs="Times New Roman"/>
                <w:sz w:val="20"/>
                <w:szCs w:val="20"/>
                <w:lang w:eastAsia="ru-RU"/>
              </w:rPr>
            </w:pPr>
          </w:p>
        </w:tc>
      </w:tr>
    </w:tbl>
    <w:p w:rsidR="007C75B8" w:rsidRPr="00FD2631" w:rsidRDefault="007C75B8" w:rsidP="007C75B8">
      <w:pPr>
        <w:tabs>
          <w:tab w:val="left" w:pos="1831"/>
          <w:tab w:val="left" w:pos="3248"/>
          <w:tab w:val="left" w:pos="3985"/>
        </w:tabs>
        <w:spacing w:after="0" w:line="240" w:lineRule="auto"/>
        <w:jc w:val="center"/>
        <w:rPr>
          <w:rFonts w:ascii="Times New Roman" w:hAnsi="Times New Roman" w:cs="Times New Roman"/>
          <w:b/>
          <w:sz w:val="24"/>
          <w:szCs w:val="24"/>
        </w:rPr>
      </w:pPr>
      <w:r w:rsidRPr="00FD2631">
        <w:rPr>
          <w:rFonts w:ascii="Times New Roman" w:hAnsi="Times New Roman" w:cs="Times New Roman"/>
          <w:b/>
          <w:sz w:val="24"/>
          <w:szCs w:val="24"/>
        </w:rPr>
        <w:t>Указаны в пункте 13</w:t>
      </w:r>
    </w:p>
    <w:p w:rsidR="007C75B8" w:rsidRPr="00FD2631" w:rsidRDefault="007C75B8" w:rsidP="007C75B8">
      <w:pPr>
        <w:spacing w:after="0" w:line="240" w:lineRule="auto"/>
        <w:ind w:firstLine="708"/>
        <w:jc w:val="both"/>
        <w:rPr>
          <w:rFonts w:ascii="Times New Roman" w:hAnsi="Times New Roman" w:cs="Times New Roman"/>
          <w:sz w:val="24"/>
          <w:szCs w:val="24"/>
        </w:rPr>
      </w:pPr>
      <w:r w:rsidRPr="00FD2631">
        <w:rPr>
          <w:rFonts w:ascii="Times New Roman" w:hAnsi="Times New Roman" w:cs="Times New Roman"/>
          <w:sz w:val="24"/>
          <w:szCs w:val="24"/>
        </w:rPr>
        <w:t>Объектом страхования являются имущественные интересы Учреждения, связанные с риском возникновения непредвиденных расходов по локализации и ликвидации последствий чрезвычайных ситуаций природного и техногенного характера в соответствии с действующим законодательством.</w:t>
      </w:r>
    </w:p>
    <w:p w:rsidR="007C75B8" w:rsidRPr="00FD2631" w:rsidRDefault="007C75B8" w:rsidP="007C75B8">
      <w:pPr>
        <w:spacing w:after="0" w:line="240" w:lineRule="auto"/>
        <w:ind w:firstLine="708"/>
        <w:jc w:val="both"/>
        <w:rPr>
          <w:rFonts w:ascii="Times New Roman" w:hAnsi="Times New Roman" w:cs="Times New Roman"/>
          <w:b/>
          <w:sz w:val="24"/>
          <w:szCs w:val="24"/>
          <w:u w:val="single"/>
        </w:rPr>
      </w:pPr>
      <w:r w:rsidRPr="00FD2631">
        <w:rPr>
          <w:rFonts w:ascii="Times New Roman" w:hAnsi="Times New Roman" w:cs="Times New Roman"/>
          <w:b/>
          <w:sz w:val="24"/>
          <w:szCs w:val="24"/>
          <w:u w:val="single"/>
        </w:rPr>
        <w:t>Страховая сумма: 2 000 000,00 руб.</w:t>
      </w:r>
    </w:p>
    <w:p w:rsidR="007C75B8" w:rsidRPr="00FD2631" w:rsidRDefault="007C75B8" w:rsidP="007C75B8">
      <w:pPr>
        <w:spacing w:after="0" w:line="240" w:lineRule="auto"/>
        <w:ind w:firstLine="708"/>
        <w:jc w:val="both"/>
        <w:rPr>
          <w:rFonts w:ascii="Times New Roman" w:hAnsi="Times New Roman" w:cs="Times New Roman"/>
          <w:b/>
          <w:sz w:val="24"/>
          <w:szCs w:val="24"/>
          <w:u w:val="single"/>
        </w:rPr>
      </w:pPr>
      <w:r w:rsidRPr="00FD2631">
        <w:rPr>
          <w:rFonts w:ascii="Times New Roman" w:hAnsi="Times New Roman" w:cs="Times New Roman"/>
          <w:b/>
          <w:sz w:val="24"/>
          <w:szCs w:val="24"/>
          <w:u w:val="single"/>
        </w:rPr>
        <w:t>Территория страхования: 197758, Санкт-Петербург, пос. Песочный, ул. Ленинградская, д. 68</w:t>
      </w:r>
      <w:r w:rsidR="006C6BF6">
        <w:rPr>
          <w:rFonts w:ascii="Times New Roman" w:hAnsi="Times New Roman" w:cs="Times New Roman"/>
          <w:b/>
          <w:sz w:val="24"/>
          <w:szCs w:val="24"/>
          <w:u w:val="single"/>
        </w:rPr>
        <w:t xml:space="preserve"> </w:t>
      </w:r>
    </w:p>
    <w:p w:rsidR="007C75B8" w:rsidRPr="00FD2631" w:rsidRDefault="007C75B8" w:rsidP="007C75B8">
      <w:pPr>
        <w:spacing w:after="0" w:line="240" w:lineRule="auto"/>
        <w:jc w:val="both"/>
        <w:rPr>
          <w:rFonts w:ascii="Times New Roman" w:hAnsi="Times New Roman" w:cs="Times New Roman"/>
          <w:sz w:val="24"/>
          <w:szCs w:val="24"/>
        </w:rPr>
      </w:pPr>
      <w:r w:rsidRPr="00FD2631">
        <w:rPr>
          <w:rFonts w:ascii="Times New Roman" w:hAnsi="Times New Roman" w:cs="Times New Roman"/>
          <w:b/>
          <w:i/>
          <w:sz w:val="24"/>
          <w:szCs w:val="24"/>
          <w:u w:val="single"/>
        </w:rPr>
        <w:t>Период страхования:</w:t>
      </w:r>
      <w:r w:rsidRPr="00FD2631">
        <w:rPr>
          <w:rFonts w:ascii="Times New Roman" w:hAnsi="Times New Roman" w:cs="Times New Roman"/>
          <w:sz w:val="24"/>
          <w:szCs w:val="24"/>
        </w:rPr>
        <w:t xml:space="preserve"> с 00.00 часов 30.04.202</w:t>
      </w:r>
      <w:r>
        <w:rPr>
          <w:rFonts w:ascii="Times New Roman" w:hAnsi="Times New Roman" w:cs="Times New Roman"/>
          <w:sz w:val="24"/>
          <w:szCs w:val="24"/>
        </w:rPr>
        <w:t>6</w:t>
      </w:r>
      <w:r w:rsidRPr="00FD2631">
        <w:rPr>
          <w:rFonts w:ascii="Times New Roman" w:hAnsi="Times New Roman" w:cs="Times New Roman"/>
          <w:sz w:val="24"/>
          <w:szCs w:val="24"/>
        </w:rPr>
        <w:t xml:space="preserve"> по 24.00 часов 29.04.202</w:t>
      </w:r>
      <w:r>
        <w:rPr>
          <w:rFonts w:ascii="Times New Roman" w:hAnsi="Times New Roman" w:cs="Times New Roman"/>
          <w:sz w:val="24"/>
          <w:szCs w:val="24"/>
        </w:rPr>
        <w:t>7</w:t>
      </w:r>
      <w:r w:rsidRPr="00FD2631">
        <w:rPr>
          <w:rFonts w:ascii="Times New Roman" w:hAnsi="Times New Roman" w:cs="Times New Roman"/>
          <w:sz w:val="24"/>
          <w:szCs w:val="24"/>
        </w:rPr>
        <w:t>.</w:t>
      </w:r>
    </w:p>
    <w:p w:rsidR="007C75B8" w:rsidRPr="00FD2631" w:rsidRDefault="007C75B8" w:rsidP="007C75B8">
      <w:pPr>
        <w:tabs>
          <w:tab w:val="left" w:pos="1831"/>
          <w:tab w:val="left" w:pos="3248"/>
          <w:tab w:val="left" w:pos="3985"/>
        </w:tabs>
        <w:spacing w:after="0" w:line="240" w:lineRule="auto"/>
        <w:jc w:val="both"/>
        <w:rPr>
          <w:rFonts w:ascii="Times New Roman" w:hAnsi="Times New Roman" w:cs="Times New Roman"/>
          <w:i/>
          <w:sz w:val="24"/>
          <w:szCs w:val="24"/>
        </w:rPr>
      </w:pPr>
      <w:r w:rsidRPr="00FD2631">
        <w:rPr>
          <w:rFonts w:ascii="Times New Roman" w:hAnsi="Times New Roman" w:cs="Times New Roman"/>
          <w:b/>
          <w:i/>
          <w:sz w:val="24"/>
          <w:szCs w:val="24"/>
          <w:u w:val="single"/>
        </w:rPr>
        <w:t>Основание для страхования:</w:t>
      </w:r>
      <w:r w:rsidRPr="00FD2631">
        <w:rPr>
          <w:rFonts w:ascii="Times New Roman" w:hAnsi="Times New Roman" w:cs="Times New Roman"/>
          <w:sz w:val="24"/>
          <w:szCs w:val="24"/>
        </w:rPr>
        <w:t xml:space="preserve"> </w:t>
      </w:r>
      <w:r w:rsidRPr="00FD2631">
        <w:rPr>
          <w:rFonts w:ascii="Times New Roman" w:hAnsi="Times New Roman" w:cs="Times New Roman"/>
          <w:i/>
          <w:sz w:val="24"/>
          <w:szCs w:val="24"/>
        </w:rPr>
        <w:t>Федеральный закон от 21.07.1997 №116-ФЗ, от 21.12.1994 № 68-ФЗ., постановление Правительства РФ от 30.12.2003 №794, постановление Правительства РФ от 25.07.2020 № 1119 «Об утверждении Правил создания, использования и восполнения резервов материальных ресурсов федеральных органов исполнительной власти для ликвидации чрезвычайных ситуаций природного и техногенного характера».</w:t>
      </w:r>
    </w:p>
    <w:p w:rsidR="007C75B8" w:rsidRPr="00FD2631" w:rsidRDefault="007C75B8" w:rsidP="007C75B8">
      <w:pPr>
        <w:spacing w:after="0" w:line="240" w:lineRule="auto"/>
        <w:rPr>
          <w:rFonts w:ascii="Times New Roman" w:hAnsi="Times New Roman" w:cs="Times New Roman"/>
          <w:i/>
          <w:sz w:val="24"/>
          <w:szCs w:val="24"/>
        </w:rPr>
      </w:pPr>
      <w:r w:rsidRPr="00FD2631">
        <w:rPr>
          <w:rFonts w:ascii="Times New Roman" w:hAnsi="Times New Roman" w:cs="Times New Roman"/>
          <w:b/>
          <w:i/>
          <w:sz w:val="24"/>
          <w:szCs w:val="24"/>
          <w:u w:val="single"/>
        </w:rPr>
        <w:t>Наличие особых требований, предъявляемых к исполнителю</w:t>
      </w:r>
      <w:r w:rsidRPr="00FD2631">
        <w:rPr>
          <w:rFonts w:ascii="Times New Roman" w:hAnsi="Times New Roman" w:cs="Times New Roman"/>
          <w:b/>
          <w:i/>
          <w:sz w:val="24"/>
          <w:szCs w:val="24"/>
        </w:rPr>
        <w:t xml:space="preserve">: </w:t>
      </w:r>
      <w:r w:rsidRPr="00FD2631">
        <w:rPr>
          <w:rFonts w:ascii="Times New Roman" w:hAnsi="Times New Roman" w:cs="Times New Roman"/>
          <w:i/>
          <w:sz w:val="24"/>
          <w:szCs w:val="24"/>
        </w:rPr>
        <w:t>Наличие Лицензии на осуществление страховой деятельности в части добровольного имущественного страхования</w:t>
      </w:r>
    </w:p>
    <w:p w:rsidR="007C75B8" w:rsidRDefault="007C75B8" w:rsidP="007C75B8">
      <w:pPr>
        <w:spacing w:after="0" w:line="240" w:lineRule="auto"/>
        <w:rPr>
          <w:rFonts w:ascii="Times New Roman" w:hAnsi="Times New Roman" w:cs="Times New Roman"/>
          <w:b/>
          <w:sz w:val="24"/>
          <w:szCs w:val="24"/>
        </w:rPr>
      </w:pPr>
      <w:r w:rsidRPr="00FD2631">
        <w:rPr>
          <w:rFonts w:ascii="Times New Roman" w:hAnsi="Times New Roman" w:cs="Times New Roman"/>
          <w:b/>
          <w:sz w:val="24"/>
          <w:szCs w:val="24"/>
        </w:rPr>
        <w:t>Перечень строений Учреждения, расположенных по адресу: г. Санкт-Петербург, пос. Песочный, ул. Ленинградская, д. 68:</w:t>
      </w:r>
    </w:p>
    <w:p w:rsidR="007C75B8" w:rsidRDefault="007C75B8" w:rsidP="007C75B8">
      <w:pPr>
        <w:spacing w:after="0" w:line="240" w:lineRule="auto"/>
        <w:rPr>
          <w:rFonts w:ascii="Times New Roman" w:hAnsi="Times New Roman" w:cs="Times New Roman"/>
          <w:b/>
          <w:sz w:val="24"/>
          <w:szCs w:val="24"/>
        </w:rPr>
      </w:pPr>
    </w:p>
    <w:tbl>
      <w:tblPr>
        <w:tblW w:w="952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1540"/>
        <w:gridCol w:w="7986"/>
      </w:tblGrid>
      <w:tr w:rsidR="007C75B8" w:rsidRPr="00271E02" w:rsidTr="007C75B8">
        <w:trPr>
          <w:trHeight w:val="310"/>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Здание (литер)</w:t>
            </w:r>
          </w:p>
        </w:tc>
        <w:tc>
          <w:tcPr>
            <w:tcW w:w="7986"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Наименование объекта недвижимости</w:t>
            </w:r>
          </w:p>
        </w:tc>
      </w:tr>
      <w:tr w:rsidR="007C75B8" w:rsidRPr="00271E02" w:rsidTr="007C75B8">
        <w:trPr>
          <w:trHeight w:val="230"/>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А</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Главный производственный корпус (клиника), административный корпус, производственный корпус (поликлиника), хирургический корпус</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В</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Лабораторный корпус, виварий</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Е</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Радиологический корпус,  производственный корпус (линейный ускоритель)</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Ж</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Производственный корпус (прозекторская)</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З</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Хозяйственный корпус</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И</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Вспомогательный корпус (прачечная)</w:t>
            </w:r>
          </w:p>
        </w:tc>
      </w:tr>
      <w:tr w:rsidR="007C75B8" w:rsidRPr="00271E02" w:rsidTr="007C75B8">
        <w:trPr>
          <w:trHeight w:val="388"/>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М</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Вспомогательный корпус (проходная)</w:t>
            </w:r>
          </w:p>
        </w:tc>
      </w:tr>
      <w:tr w:rsidR="007C75B8" w:rsidRPr="00271E02" w:rsidTr="007C75B8">
        <w:trPr>
          <w:trHeight w:val="388"/>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У</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Вспомогательный корпус (столовая)</w:t>
            </w:r>
            <w:r>
              <w:rPr>
                <w:rFonts w:ascii="Arial" w:eastAsia="Times New Roman" w:hAnsi="Arial" w:cs="Arial"/>
                <w:color w:val="002060"/>
                <w:sz w:val="20"/>
                <w:szCs w:val="20"/>
                <w:lang w:eastAsia="ru-RU"/>
              </w:rPr>
              <w:t>, хозяйственный склад</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Ф</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Arial" w:eastAsia="Times New Roman" w:hAnsi="Arial" w:cs="Arial"/>
                <w:color w:val="002060"/>
                <w:sz w:val="20"/>
                <w:szCs w:val="20"/>
                <w:lang w:eastAsia="ru-RU"/>
              </w:rPr>
              <w:t>Гараж</w:t>
            </w:r>
          </w:p>
        </w:tc>
      </w:tr>
      <w:tr w:rsidR="007C75B8" w:rsidRPr="00271E02" w:rsidTr="007C75B8">
        <w:trPr>
          <w:trHeight w:val="64"/>
          <w:jc w:val="center"/>
        </w:trPr>
        <w:tc>
          <w:tcPr>
            <w:tcW w:w="1540" w:type="dxa"/>
            <w:shd w:val="clear" w:color="auto" w:fill="FFFFFF"/>
            <w:tcMar>
              <w:top w:w="0" w:type="dxa"/>
              <w:left w:w="108" w:type="dxa"/>
              <w:bottom w:w="0" w:type="dxa"/>
              <w:right w:w="108" w:type="dxa"/>
            </w:tcMar>
            <w:vAlign w:val="center"/>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Times New Roman" w:eastAsia="Times New Roman" w:hAnsi="Times New Roman" w:cs="Times New Roman"/>
                <w:color w:val="002060"/>
                <w:sz w:val="24"/>
                <w:szCs w:val="24"/>
                <w:lang w:eastAsia="ru-RU"/>
              </w:rPr>
              <w:t>Ч</w:t>
            </w:r>
          </w:p>
        </w:tc>
        <w:tc>
          <w:tcPr>
            <w:tcW w:w="7986" w:type="dxa"/>
            <w:shd w:val="clear" w:color="auto" w:fill="FFFFFF"/>
            <w:tcMar>
              <w:top w:w="0" w:type="dxa"/>
              <w:left w:w="108" w:type="dxa"/>
              <w:bottom w:w="0" w:type="dxa"/>
              <w:right w:w="108" w:type="dxa"/>
            </w:tcMar>
            <w:vAlign w:val="bottom"/>
            <w:hideMark/>
          </w:tcPr>
          <w:p w:rsidR="007C75B8" w:rsidRPr="00271E02" w:rsidRDefault="007C75B8" w:rsidP="00D27B73">
            <w:pPr>
              <w:spacing w:after="0" w:line="240" w:lineRule="auto"/>
              <w:jc w:val="center"/>
              <w:rPr>
                <w:rFonts w:ascii="Times New Roman" w:eastAsia="Times New Roman" w:hAnsi="Times New Roman" w:cs="Times New Roman"/>
                <w:color w:val="000000"/>
                <w:sz w:val="24"/>
                <w:szCs w:val="24"/>
                <w:lang w:eastAsia="ru-RU"/>
              </w:rPr>
            </w:pPr>
            <w:r w:rsidRPr="00271E02">
              <w:rPr>
                <w:rFonts w:ascii="Times New Roman" w:eastAsia="Times New Roman" w:hAnsi="Times New Roman" w:cs="Times New Roman"/>
                <w:color w:val="002060"/>
                <w:sz w:val="24"/>
                <w:szCs w:val="24"/>
                <w:lang w:eastAsia="ru-RU"/>
              </w:rPr>
              <w:t>Спецподвал (полузаглубленный)</w:t>
            </w:r>
          </w:p>
        </w:tc>
      </w:tr>
      <w:tr w:rsidR="007C75B8" w:rsidRPr="001D4495" w:rsidTr="007C75B8">
        <w:trPr>
          <w:trHeight w:val="64"/>
          <w:jc w:val="center"/>
        </w:trPr>
        <w:tc>
          <w:tcPr>
            <w:tcW w:w="9526" w:type="dxa"/>
            <w:gridSpan w:val="2"/>
            <w:shd w:val="clear" w:color="auto" w:fill="FFFFFF"/>
            <w:tcMar>
              <w:top w:w="0" w:type="dxa"/>
              <w:left w:w="108" w:type="dxa"/>
              <w:bottom w:w="0" w:type="dxa"/>
              <w:right w:w="108" w:type="dxa"/>
            </w:tcMar>
            <w:vAlign w:val="center"/>
          </w:tcPr>
          <w:p w:rsidR="007C75B8" w:rsidRPr="001D4495" w:rsidRDefault="007C75B8" w:rsidP="00D27B73">
            <w:pPr>
              <w:spacing w:after="0" w:line="240" w:lineRule="auto"/>
              <w:rPr>
                <w:rFonts w:ascii="Times New Roman" w:hAnsi="Times New Roman" w:cs="Times New Roman"/>
              </w:rPr>
            </w:pPr>
            <w:r w:rsidRPr="001D4495">
              <w:rPr>
                <w:rFonts w:ascii="Times New Roman" w:hAnsi="Times New Roman" w:cs="Times New Roman"/>
                <w:b/>
                <w:spacing w:val="-8"/>
              </w:rPr>
              <w:t xml:space="preserve">Опасные вещества, которые обращаются на объектах (название, ко-во, т. единовременно на объекте): </w:t>
            </w:r>
            <w:r w:rsidRPr="001D4495">
              <w:rPr>
                <w:rFonts w:ascii="Times New Roman" w:hAnsi="Times New Roman" w:cs="Times New Roman"/>
                <w:i/>
              </w:rPr>
              <w:t>Жидкий кислород (площадка газификатора)</w:t>
            </w:r>
          </w:p>
        </w:tc>
      </w:tr>
    </w:tbl>
    <w:p w:rsidR="007C75B8" w:rsidRDefault="007C75B8" w:rsidP="007C75B8">
      <w:pPr>
        <w:spacing w:after="0" w:line="240" w:lineRule="auto"/>
        <w:rPr>
          <w:rFonts w:ascii="Times New Roman" w:hAnsi="Times New Roman" w:cs="Times New Roman"/>
          <w:b/>
          <w:sz w:val="24"/>
          <w:szCs w:val="24"/>
        </w:rPr>
      </w:pPr>
    </w:p>
    <w:p w:rsidR="007C75B8" w:rsidRPr="001D4495" w:rsidRDefault="007C75B8" w:rsidP="007C75B8">
      <w:pPr>
        <w:spacing w:after="0" w:line="240" w:lineRule="auto"/>
        <w:ind w:firstLine="709"/>
        <w:jc w:val="both"/>
        <w:rPr>
          <w:rFonts w:ascii="Times New Roman" w:hAnsi="Times New Roman" w:cs="Times New Roman"/>
        </w:rPr>
      </w:pPr>
      <w:r w:rsidRPr="001D4495">
        <w:rPr>
          <w:rFonts w:ascii="Times New Roman" w:hAnsi="Times New Roman" w:cs="Times New Roman"/>
          <w:highlight w:val="yellow"/>
        </w:rPr>
        <w:t>Наличие действующих лицензий у Учреждения:</w:t>
      </w:r>
    </w:p>
    <w:p w:rsidR="007C75B8" w:rsidRPr="001D4495" w:rsidRDefault="007C75B8" w:rsidP="007C75B8">
      <w:pPr>
        <w:spacing w:after="0" w:line="240" w:lineRule="auto"/>
        <w:ind w:firstLine="709"/>
        <w:jc w:val="both"/>
        <w:rPr>
          <w:rFonts w:ascii="Times New Roman" w:hAnsi="Times New Roman" w:cs="Times New Roman"/>
        </w:rPr>
      </w:pPr>
      <w:r w:rsidRPr="001D4495">
        <w:rPr>
          <w:rFonts w:ascii="Times New Roman" w:hAnsi="Times New Roman" w:cs="Times New Roman"/>
        </w:rPr>
        <w:t>- «Лицензия на осуществление медицинской деятельности», № ФС-78-01-003078 от 30.10.2018, выдана «Федеральная служба по надзору в сфере здравоохранения», срок действия - бессрочно.</w:t>
      </w:r>
    </w:p>
    <w:p w:rsidR="007C75B8" w:rsidRPr="001D4495" w:rsidRDefault="007C75B8" w:rsidP="007C75B8">
      <w:pPr>
        <w:spacing w:after="0" w:line="240" w:lineRule="auto"/>
        <w:ind w:firstLine="709"/>
        <w:jc w:val="both"/>
        <w:rPr>
          <w:rFonts w:ascii="Times New Roman" w:hAnsi="Times New Roman" w:cs="Times New Roman"/>
        </w:rPr>
      </w:pPr>
      <w:r w:rsidRPr="001D4495">
        <w:rPr>
          <w:rFonts w:ascii="Times New Roman" w:hAnsi="Times New Roman" w:cs="Times New Roman"/>
        </w:rPr>
        <w:t>-«Лицензия на осуществление образовательной деятельности», № 2649 от 28.09.2017, выдана «Федеральная служба по надзору в сфере образования и науки», срок действия - бессрочно.</w:t>
      </w:r>
    </w:p>
    <w:p w:rsidR="007C75B8" w:rsidRPr="001D4495" w:rsidRDefault="007C75B8" w:rsidP="007C75B8">
      <w:pPr>
        <w:spacing w:after="0" w:line="240" w:lineRule="auto"/>
        <w:ind w:firstLine="709"/>
        <w:jc w:val="both"/>
        <w:rPr>
          <w:rFonts w:ascii="Times New Roman" w:hAnsi="Times New Roman" w:cs="Times New Roman"/>
        </w:rPr>
      </w:pPr>
      <w:r w:rsidRPr="001D4495">
        <w:rPr>
          <w:rFonts w:ascii="Times New Roman" w:hAnsi="Times New Roman" w:cs="Times New Roman"/>
        </w:rPr>
        <w:t>- «Лицензия на осуществление фармацевтической деятельности», № ФС-78-02-000274 от 06.02.2018, выдана «Федеральная служба в сфере здравоохранения», срок действия - бессрочно.</w:t>
      </w:r>
    </w:p>
    <w:p w:rsidR="007C75B8" w:rsidRPr="001D4495" w:rsidRDefault="007C75B8" w:rsidP="007C75B8">
      <w:pPr>
        <w:spacing w:after="0" w:line="240" w:lineRule="auto"/>
        <w:ind w:firstLine="709"/>
        <w:jc w:val="both"/>
        <w:rPr>
          <w:rFonts w:ascii="Times New Roman" w:hAnsi="Times New Roman" w:cs="Times New Roman"/>
        </w:rPr>
      </w:pPr>
      <w:r w:rsidRPr="001D4495">
        <w:rPr>
          <w:rFonts w:ascii="Times New Roman" w:hAnsi="Times New Roman" w:cs="Times New Roman"/>
        </w:rPr>
        <w:t>- «Лицензия на право эксплуатации радиационного источника», № СЕ-03-210-5240 от 22.06.2022, выдана «Федеральная служба по экологическому, технологическому и атомному надзору», срок действия - 22.06.2027.</w:t>
      </w:r>
    </w:p>
    <w:p w:rsidR="007C75B8" w:rsidRDefault="007C75B8" w:rsidP="000820E3">
      <w:pPr>
        <w:rPr>
          <w:rFonts w:ascii="Times New Roman" w:hAnsi="Times New Roman" w:cs="Times New Roman"/>
          <w:b/>
          <w:sz w:val="28"/>
          <w:szCs w:val="28"/>
        </w:rPr>
      </w:pPr>
    </w:p>
    <w:sectPr w:rsidR="007C75B8" w:rsidSect="007C75B8">
      <w:headerReference w:type="first" r:id="rId18"/>
      <w:footerReference w:type="first" r:id="rId19"/>
      <w:pgSz w:w="16838" w:h="11906" w:orient="landscape"/>
      <w:pgMar w:top="567"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4FD" w:rsidRDefault="007804FD">
      <w:pPr>
        <w:spacing w:after="0" w:line="240" w:lineRule="auto"/>
      </w:pPr>
      <w:r>
        <w:separator/>
      </w:r>
    </w:p>
  </w:endnote>
  <w:endnote w:type="continuationSeparator" w:id="0">
    <w:p w:rsidR="007804FD" w:rsidRDefault="00780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86D" w:rsidRDefault="008B086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086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8B086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8B086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086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C6BF6">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8B086D">
    <w:pPr>
      <w:pStyle w:val="ab"/>
      <w:jc w:val="right"/>
    </w:pPr>
    <w:sdt>
      <w:sdtPr>
        <w:id w:val="29864674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6C6BF6">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4FD" w:rsidRDefault="007804FD">
      <w:pPr>
        <w:spacing w:after="0" w:line="240" w:lineRule="auto"/>
      </w:pPr>
      <w:r>
        <w:separator/>
      </w:r>
    </w:p>
  </w:footnote>
  <w:footnote w:type="continuationSeparator" w:id="0">
    <w:p w:rsidR="007804FD" w:rsidRDefault="007804FD">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86D" w:rsidRDefault="008B086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86D" w:rsidRDefault="008B086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B086D" w:rsidRDefault="008B086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C6BF6"/>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016D"/>
    <w:rsid w:val="007804FD"/>
    <w:rsid w:val="00781335"/>
    <w:rsid w:val="007837E5"/>
    <w:rsid w:val="00786E1B"/>
    <w:rsid w:val="007922BC"/>
    <w:rsid w:val="00792FF6"/>
    <w:rsid w:val="007B5155"/>
    <w:rsid w:val="007B631D"/>
    <w:rsid w:val="007B64E3"/>
    <w:rsid w:val="007C20A6"/>
    <w:rsid w:val="007C4CF9"/>
    <w:rsid w:val="007C75B8"/>
    <w:rsid w:val="007D2EFB"/>
    <w:rsid w:val="007D4BE6"/>
    <w:rsid w:val="007E016E"/>
    <w:rsid w:val="007E2406"/>
    <w:rsid w:val="007E29E9"/>
    <w:rsid w:val="007F15A5"/>
    <w:rsid w:val="007F3993"/>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86D"/>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1457"/>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C3505-AB65-4411-AE14-70B7190B2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1251</Words>
  <Characters>7135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2026-02-25T08:06:00Z</dcterms:created>
  <dcterms:modified xsi:type="dcterms:W3CDTF">2026-02-25T08:06:00Z</dcterms:modified>
</cp:coreProperties>
</file>