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BE1539D" wp14:editId="3E519AD5">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13.10.2021 № 21.1-03/1082</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19.10.2021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262E5D">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7641"/>
        <w:gridCol w:w="7710"/>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моющих средств </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24.12.2021</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14.12.2021</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5 (пяти) рабочих дней после поступления письменной заявки от Покупателя. Последняя дата подачи заявки на поставку 7.12.2021. Максимальное количество партий 3 (три).</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10 (десяти) календарных дней с момента подписания Покупателем универсального передаточного документа (УПД).</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Сертификаты, декларации соответствия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60% </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Постановление Правительства РФ от 30.04.2020 N 617; Приказ Минфина России от 04.06.2018 N 126н (ред. от 10.07.2020)</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Страна происхождения (указывается участником в заявке, </w:t>
            </w:r>
            <w:r w:rsidRPr="00450429">
              <w:rPr>
                <w:rFonts w:ascii="Times New Roman" w:hAnsi="Times New Roman" w:cs="Times New Roman"/>
                <w:sz w:val="24"/>
                <w:szCs w:val="26"/>
              </w:rPr>
              <w:lastRenderedPageBreak/>
              <w:t>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lastRenderedPageBreak/>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12"/>
        <w:tblW w:w="16126" w:type="dxa"/>
        <w:tblLayout w:type="fixed"/>
        <w:tblLook w:val="04A0" w:firstRow="1" w:lastRow="0" w:firstColumn="1" w:lastColumn="0" w:noHBand="0" w:noVBand="1"/>
      </w:tblPr>
      <w:tblGrid>
        <w:gridCol w:w="539"/>
        <w:gridCol w:w="2121"/>
        <w:gridCol w:w="4536"/>
        <w:gridCol w:w="1134"/>
        <w:gridCol w:w="992"/>
        <w:gridCol w:w="1843"/>
        <w:gridCol w:w="1701"/>
        <w:gridCol w:w="1701"/>
        <w:gridCol w:w="1559"/>
      </w:tblGrid>
      <w:tr w:rsidR="004E4166" w:rsidRPr="008E0F10" w:rsidTr="00D32140">
        <w:tc>
          <w:tcPr>
            <w:tcW w:w="539" w:type="dxa"/>
            <w:shd w:val="clear" w:color="auto" w:fill="FFFFFF" w:themeFill="background1"/>
          </w:tcPr>
          <w:p w:rsidR="004E4166" w:rsidRPr="008E0F10" w:rsidRDefault="004E4166" w:rsidP="00D32140">
            <w:pPr>
              <w:jc w:val="center"/>
              <w:rPr>
                <w:rFonts w:ascii="Times New Roman" w:hAnsi="Times New Roman"/>
                <w:b/>
                <w:sz w:val="20"/>
                <w:szCs w:val="20"/>
              </w:rPr>
            </w:pPr>
            <w:r w:rsidRPr="008E0F10">
              <w:rPr>
                <w:rFonts w:ascii="Times New Roman" w:hAnsi="Times New Roman"/>
                <w:b/>
                <w:sz w:val="20"/>
                <w:szCs w:val="20"/>
              </w:rPr>
              <w:t>№ п</w:t>
            </w:r>
            <w:r w:rsidRPr="008E0F10">
              <w:rPr>
                <w:rFonts w:ascii="Times New Roman" w:hAnsi="Times New Roman"/>
                <w:b/>
                <w:sz w:val="20"/>
                <w:szCs w:val="20"/>
                <w:lang w:val="en-US"/>
              </w:rPr>
              <w:t>/</w:t>
            </w:r>
            <w:r w:rsidRPr="008E0F10">
              <w:rPr>
                <w:rFonts w:ascii="Times New Roman" w:hAnsi="Times New Roman"/>
                <w:b/>
                <w:sz w:val="20"/>
                <w:szCs w:val="20"/>
              </w:rPr>
              <w:t>п</w:t>
            </w:r>
          </w:p>
        </w:tc>
        <w:tc>
          <w:tcPr>
            <w:tcW w:w="2121" w:type="dxa"/>
            <w:shd w:val="clear" w:color="auto" w:fill="FFFFFF" w:themeFill="background1"/>
          </w:tcPr>
          <w:p w:rsidR="004E4166" w:rsidRPr="008E0F10" w:rsidRDefault="004E4166" w:rsidP="00D32140">
            <w:pPr>
              <w:jc w:val="center"/>
              <w:rPr>
                <w:rFonts w:ascii="Times New Roman" w:hAnsi="Times New Roman"/>
                <w:b/>
                <w:sz w:val="20"/>
                <w:szCs w:val="20"/>
              </w:rPr>
            </w:pPr>
            <w:r w:rsidRPr="008E0F10">
              <w:rPr>
                <w:rFonts w:ascii="Times New Roman" w:hAnsi="Times New Roman"/>
                <w:b/>
                <w:sz w:val="20"/>
                <w:szCs w:val="20"/>
              </w:rPr>
              <w:t>Наименование товара</w:t>
            </w:r>
          </w:p>
        </w:tc>
        <w:tc>
          <w:tcPr>
            <w:tcW w:w="4536" w:type="dxa"/>
            <w:shd w:val="clear" w:color="auto" w:fill="FFFFFF" w:themeFill="background1"/>
          </w:tcPr>
          <w:p w:rsidR="004E4166" w:rsidRPr="008E0F10" w:rsidRDefault="004E4166" w:rsidP="00D32140">
            <w:pPr>
              <w:jc w:val="center"/>
              <w:rPr>
                <w:rFonts w:ascii="Times New Roman" w:hAnsi="Times New Roman"/>
                <w:b/>
                <w:sz w:val="20"/>
                <w:szCs w:val="20"/>
              </w:rPr>
            </w:pPr>
            <w:r w:rsidRPr="008E0F10">
              <w:rPr>
                <w:rFonts w:ascii="Times New Roman" w:hAnsi="Times New Roman"/>
                <w:b/>
                <w:sz w:val="20"/>
                <w:szCs w:val="20"/>
              </w:rPr>
              <w:t>Технические характеристики</w:t>
            </w:r>
          </w:p>
        </w:tc>
        <w:tc>
          <w:tcPr>
            <w:tcW w:w="1134" w:type="dxa"/>
            <w:shd w:val="clear" w:color="auto" w:fill="FFFFFF" w:themeFill="background1"/>
          </w:tcPr>
          <w:p w:rsidR="004E4166" w:rsidRDefault="004E4166" w:rsidP="00D32140">
            <w:pPr>
              <w:jc w:val="center"/>
              <w:rPr>
                <w:rFonts w:ascii="Times New Roman" w:hAnsi="Times New Roman"/>
                <w:b/>
                <w:sz w:val="20"/>
                <w:szCs w:val="20"/>
              </w:rPr>
            </w:pPr>
            <w:r w:rsidRPr="008E0F10">
              <w:rPr>
                <w:rFonts w:ascii="Times New Roman" w:hAnsi="Times New Roman"/>
                <w:b/>
                <w:sz w:val="20"/>
                <w:szCs w:val="20"/>
              </w:rPr>
              <w:t>Ед.</w:t>
            </w:r>
          </w:p>
          <w:p w:rsidR="004E4166" w:rsidRPr="008E0F10" w:rsidRDefault="004E4166" w:rsidP="00D32140">
            <w:pPr>
              <w:jc w:val="center"/>
              <w:rPr>
                <w:rFonts w:ascii="Times New Roman" w:hAnsi="Times New Roman"/>
                <w:b/>
                <w:sz w:val="20"/>
                <w:szCs w:val="20"/>
              </w:rPr>
            </w:pPr>
            <w:r w:rsidRPr="008E0F10">
              <w:rPr>
                <w:rFonts w:ascii="Times New Roman" w:hAnsi="Times New Roman"/>
                <w:b/>
                <w:sz w:val="20"/>
                <w:szCs w:val="20"/>
              </w:rPr>
              <w:t>изм.</w:t>
            </w:r>
          </w:p>
        </w:tc>
        <w:tc>
          <w:tcPr>
            <w:tcW w:w="992" w:type="dxa"/>
            <w:shd w:val="clear" w:color="auto" w:fill="FFFFFF" w:themeFill="background1"/>
          </w:tcPr>
          <w:p w:rsidR="004E4166" w:rsidRPr="008E0F10" w:rsidRDefault="004E4166" w:rsidP="00D32140">
            <w:pPr>
              <w:jc w:val="center"/>
              <w:rPr>
                <w:rFonts w:ascii="Times New Roman" w:hAnsi="Times New Roman"/>
                <w:b/>
                <w:sz w:val="20"/>
                <w:szCs w:val="20"/>
              </w:rPr>
            </w:pPr>
            <w:r w:rsidRPr="008E0F10">
              <w:rPr>
                <w:rFonts w:ascii="Times New Roman" w:hAnsi="Times New Roman"/>
                <w:b/>
                <w:sz w:val="20"/>
                <w:szCs w:val="20"/>
              </w:rPr>
              <w:t>Кол-во</w:t>
            </w:r>
          </w:p>
        </w:tc>
        <w:tc>
          <w:tcPr>
            <w:tcW w:w="1843" w:type="dxa"/>
            <w:shd w:val="clear" w:color="auto" w:fill="FFFFFF" w:themeFill="background1"/>
          </w:tcPr>
          <w:p w:rsidR="004E4166" w:rsidRPr="008E0F10" w:rsidRDefault="004E4166" w:rsidP="00D32140">
            <w:pPr>
              <w:jc w:val="center"/>
              <w:rPr>
                <w:rFonts w:ascii="Times New Roman" w:hAnsi="Times New Roman"/>
                <w:b/>
                <w:sz w:val="20"/>
                <w:szCs w:val="20"/>
              </w:rPr>
            </w:pPr>
            <w:r w:rsidRPr="008E0F10">
              <w:rPr>
                <w:rFonts w:ascii="Times New Roman" w:hAnsi="Times New Roman"/>
                <w:b/>
                <w:sz w:val="20"/>
                <w:szCs w:val="20"/>
              </w:rPr>
              <w:t>ОКПД2/</w:t>
            </w:r>
          </w:p>
          <w:p w:rsidR="004E4166" w:rsidRPr="008E0F10" w:rsidRDefault="004E4166" w:rsidP="00D32140">
            <w:pPr>
              <w:jc w:val="center"/>
              <w:rPr>
                <w:rFonts w:ascii="Times New Roman" w:hAnsi="Times New Roman"/>
                <w:b/>
                <w:sz w:val="20"/>
                <w:szCs w:val="20"/>
              </w:rPr>
            </w:pPr>
            <w:r w:rsidRPr="008E0F10">
              <w:rPr>
                <w:rFonts w:ascii="Times New Roman" w:hAnsi="Times New Roman"/>
                <w:b/>
                <w:sz w:val="20"/>
                <w:szCs w:val="20"/>
              </w:rPr>
              <w:t>КТРУ</w:t>
            </w:r>
          </w:p>
        </w:tc>
        <w:tc>
          <w:tcPr>
            <w:tcW w:w="1701" w:type="dxa"/>
            <w:shd w:val="clear" w:color="auto" w:fill="FFFF99"/>
          </w:tcPr>
          <w:p w:rsidR="004E4166" w:rsidRPr="008E0F10" w:rsidRDefault="004E4166" w:rsidP="00D32140">
            <w:pPr>
              <w:jc w:val="center"/>
              <w:rPr>
                <w:rFonts w:ascii="Times New Roman" w:hAnsi="Times New Roman"/>
                <w:b/>
                <w:sz w:val="20"/>
                <w:szCs w:val="20"/>
              </w:rPr>
            </w:pPr>
            <w:r w:rsidRPr="008E0F10">
              <w:rPr>
                <w:rFonts w:ascii="Times New Roman" w:hAnsi="Times New Roman"/>
                <w:b/>
                <w:sz w:val="20"/>
                <w:szCs w:val="20"/>
              </w:rPr>
              <w:t>Страна происхождения</w:t>
            </w:r>
          </w:p>
        </w:tc>
        <w:tc>
          <w:tcPr>
            <w:tcW w:w="1701" w:type="dxa"/>
            <w:shd w:val="clear" w:color="auto" w:fill="FFFF99"/>
          </w:tcPr>
          <w:p w:rsidR="004E4166" w:rsidRPr="008E0F10" w:rsidRDefault="004E4166" w:rsidP="00D32140">
            <w:pPr>
              <w:jc w:val="center"/>
              <w:rPr>
                <w:rFonts w:ascii="Times New Roman" w:hAnsi="Times New Roman"/>
                <w:b/>
                <w:sz w:val="20"/>
                <w:szCs w:val="20"/>
              </w:rPr>
            </w:pPr>
            <w:r w:rsidRPr="008E0F10">
              <w:rPr>
                <w:rFonts w:ascii="Times New Roman" w:hAnsi="Times New Roman"/>
                <w:b/>
                <w:sz w:val="20"/>
                <w:szCs w:val="20"/>
              </w:rPr>
              <w:t>Цена за ед.</w:t>
            </w:r>
          </w:p>
          <w:p w:rsidR="004E4166" w:rsidRPr="008E0F10" w:rsidRDefault="004E4166" w:rsidP="00D32140">
            <w:pPr>
              <w:jc w:val="center"/>
              <w:rPr>
                <w:rFonts w:ascii="Times New Roman" w:hAnsi="Times New Roman"/>
                <w:b/>
                <w:sz w:val="20"/>
                <w:szCs w:val="20"/>
              </w:rPr>
            </w:pPr>
            <w:r w:rsidRPr="008E0F10">
              <w:rPr>
                <w:rFonts w:ascii="Times New Roman" w:hAnsi="Times New Roman"/>
                <w:b/>
                <w:sz w:val="20"/>
                <w:szCs w:val="20"/>
              </w:rPr>
              <w:t>с НДС</w:t>
            </w:r>
          </w:p>
          <w:p w:rsidR="004E4166" w:rsidRPr="008E0F10" w:rsidRDefault="004E4166" w:rsidP="00D32140">
            <w:pPr>
              <w:jc w:val="center"/>
              <w:rPr>
                <w:rFonts w:ascii="Times New Roman" w:hAnsi="Times New Roman"/>
                <w:b/>
                <w:sz w:val="20"/>
                <w:szCs w:val="20"/>
              </w:rPr>
            </w:pPr>
            <w:r w:rsidRPr="008E0F10">
              <w:rPr>
                <w:rFonts w:ascii="Times New Roman" w:hAnsi="Times New Roman"/>
                <w:b/>
                <w:sz w:val="20"/>
                <w:szCs w:val="20"/>
              </w:rPr>
              <w:t>(руб.)</w:t>
            </w:r>
          </w:p>
        </w:tc>
        <w:tc>
          <w:tcPr>
            <w:tcW w:w="1559" w:type="dxa"/>
            <w:shd w:val="clear" w:color="auto" w:fill="FFFF99"/>
          </w:tcPr>
          <w:p w:rsidR="004E4166" w:rsidRPr="008E0F10" w:rsidRDefault="004E4166" w:rsidP="00D32140">
            <w:pPr>
              <w:jc w:val="center"/>
              <w:rPr>
                <w:rFonts w:ascii="Times New Roman" w:hAnsi="Times New Roman"/>
                <w:b/>
                <w:sz w:val="20"/>
                <w:szCs w:val="20"/>
                <w:lang w:val="en-US"/>
              </w:rPr>
            </w:pPr>
            <w:r w:rsidRPr="008E0F10">
              <w:rPr>
                <w:rFonts w:ascii="Times New Roman" w:hAnsi="Times New Roman"/>
                <w:b/>
                <w:sz w:val="20"/>
                <w:szCs w:val="20"/>
              </w:rPr>
              <w:t xml:space="preserve">Сумма с </w:t>
            </w:r>
          </w:p>
          <w:p w:rsidR="004E4166" w:rsidRPr="008E0F10" w:rsidRDefault="004E4166" w:rsidP="00D32140">
            <w:pPr>
              <w:jc w:val="center"/>
              <w:rPr>
                <w:rFonts w:ascii="Times New Roman" w:hAnsi="Times New Roman"/>
                <w:b/>
                <w:sz w:val="20"/>
                <w:szCs w:val="20"/>
                <w:lang w:val="en-US"/>
              </w:rPr>
            </w:pPr>
            <w:r w:rsidRPr="008E0F10">
              <w:rPr>
                <w:rFonts w:ascii="Times New Roman" w:hAnsi="Times New Roman"/>
                <w:b/>
                <w:sz w:val="20"/>
                <w:szCs w:val="20"/>
              </w:rPr>
              <w:t>НДС</w:t>
            </w:r>
          </w:p>
          <w:p w:rsidR="004E4166" w:rsidRPr="008E0F10" w:rsidRDefault="004E4166" w:rsidP="00D32140">
            <w:pPr>
              <w:jc w:val="center"/>
              <w:rPr>
                <w:rFonts w:ascii="Times New Roman" w:hAnsi="Times New Roman"/>
                <w:b/>
                <w:sz w:val="20"/>
                <w:szCs w:val="20"/>
              </w:rPr>
            </w:pPr>
            <w:r w:rsidRPr="008E0F10">
              <w:rPr>
                <w:rFonts w:ascii="Times New Roman" w:hAnsi="Times New Roman"/>
                <w:b/>
                <w:sz w:val="20"/>
                <w:szCs w:val="20"/>
              </w:rPr>
              <w:t>(руб</w:t>
            </w:r>
            <w:r w:rsidRPr="008E0F10">
              <w:rPr>
                <w:rFonts w:ascii="Times New Roman" w:hAnsi="Times New Roman"/>
                <w:b/>
                <w:sz w:val="20"/>
                <w:szCs w:val="20"/>
                <w:lang w:val="en-US"/>
              </w:rPr>
              <w:t>.</w:t>
            </w:r>
            <w:r w:rsidRPr="008E0F10">
              <w:rPr>
                <w:rFonts w:ascii="Times New Roman" w:hAnsi="Times New Roman"/>
                <w:b/>
                <w:sz w:val="20"/>
                <w:szCs w:val="20"/>
              </w:rPr>
              <w:t>)</w:t>
            </w:r>
          </w:p>
        </w:tc>
      </w:tr>
      <w:tr w:rsidR="004E4166" w:rsidRPr="008E0F10" w:rsidTr="00D32140">
        <w:tc>
          <w:tcPr>
            <w:tcW w:w="539" w:type="dxa"/>
            <w:shd w:val="clear" w:color="auto" w:fill="FFFFFF" w:themeFill="background1"/>
          </w:tcPr>
          <w:p w:rsidR="004E4166" w:rsidRPr="008E0F10" w:rsidRDefault="004E4166" w:rsidP="00D32140">
            <w:pPr>
              <w:rPr>
                <w:rFonts w:ascii="Times New Roman" w:hAnsi="Times New Roman"/>
                <w:sz w:val="20"/>
                <w:szCs w:val="20"/>
              </w:rPr>
            </w:pPr>
            <w:r w:rsidRPr="008E0F10">
              <w:rPr>
                <w:rFonts w:ascii="Times New Roman" w:hAnsi="Times New Roman"/>
                <w:sz w:val="20"/>
                <w:szCs w:val="20"/>
              </w:rPr>
              <w:t>1</w:t>
            </w:r>
          </w:p>
        </w:tc>
        <w:tc>
          <w:tcPr>
            <w:tcW w:w="2121" w:type="dxa"/>
            <w:shd w:val="clear" w:color="auto" w:fill="FFFFFF" w:themeFill="background1"/>
          </w:tcPr>
          <w:p w:rsidR="004E4166" w:rsidRPr="008E0F10" w:rsidRDefault="00625729" w:rsidP="00D32140">
            <w:pPr>
              <w:shd w:val="clear" w:color="auto" w:fill="FFFFFF"/>
              <w:rPr>
                <w:rFonts w:ascii="Times New Roman" w:hAnsi="Times New Roman"/>
                <w:bCs/>
                <w:sz w:val="20"/>
                <w:szCs w:val="20"/>
                <w:lang w:eastAsia="ru-RU"/>
              </w:rPr>
            </w:pPr>
            <w:r w:rsidRPr="00625729">
              <w:rPr>
                <w:rFonts w:ascii="Times New Roman" w:hAnsi="Times New Roman"/>
                <w:bCs/>
                <w:sz w:val="20"/>
                <w:szCs w:val="20"/>
                <w:lang w:eastAsia="ru-RU"/>
              </w:rPr>
              <w:t>Порошок стиральный</w:t>
            </w:r>
          </w:p>
        </w:tc>
        <w:tc>
          <w:tcPr>
            <w:tcW w:w="4536" w:type="dxa"/>
            <w:shd w:val="clear" w:color="auto" w:fill="FFFFFF" w:themeFill="background1"/>
          </w:tcPr>
          <w:p w:rsidR="004E4166" w:rsidRPr="004E4166" w:rsidRDefault="004E4166" w:rsidP="00760DB8">
            <w:pPr>
              <w:jc w:val="both"/>
              <w:rPr>
                <w:rFonts w:ascii="Times New Roman" w:hAnsi="Times New Roman"/>
                <w:b/>
                <w:bCs/>
                <w:sz w:val="20"/>
                <w:szCs w:val="20"/>
                <w:bdr w:val="none" w:sz="0" w:space="0" w:color="auto" w:frame="1"/>
                <w:shd w:val="clear" w:color="auto" w:fill="FFFFFF"/>
              </w:rPr>
            </w:pPr>
            <w:r w:rsidRPr="004E4166">
              <w:rPr>
                <w:rFonts w:ascii="Times New Roman" w:hAnsi="Times New Roman"/>
                <w:b/>
                <w:bCs/>
                <w:sz w:val="20"/>
                <w:szCs w:val="20"/>
                <w:bdr w:val="none" w:sz="0" w:space="0" w:color="auto" w:frame="1"/>
                <w:shd w:val="clear" w:color="auto" w:fill="FFFFFF"/>
              </w:rPr>
              <w:t>Тип стирки: Ручная и машинная стирка</w:t>
            </w:r>
          </w:p>
          <w:p w:rsidR="004E4166" w:rsidRDefault="004E4166" w:rsidP="00760DB8">
            <w:pPr>
              <w:jc w:val="both"/>
              <w:rPr>
                <w:rFonts w:ascii="Times New Roman" w:hAnsi="Times New Roman"/>
                <w:bCs/>
                <w:sz w:val="20"/>
                <w:szCs w:val="20"/>
                <w:bdr w:val="none" w:sz="0" w:space="0" w:color="auto" w:frame="1"/>
                <w:shd w:val="clear" w:color="auto" w:fill="FFFFFF"/>
              </w:rPr>
            </w:pPr>
          </w:p>
          <w:p w:rsidR="004E4166" w:rsidRPr="004E4166" w:rsidRDefault="004E4166" w:rsidP="00760DB8">
            <w:pPr>
              <w:jc w:val="both"/>
              <w:rPr>
                <w:rFonts w:ascii="Times New Roman" w:hAnsi="Times New Roman"/>
                <w:b/>
                <w:bCs/>
                <w:sz w:val="20"/>
                <w:szCs w:val="20"/>
                <w:u w:val="single"/>
                <w:bdr w:val="none" w:sz="0" w:space="0" w:color="auto" w:frame="1"/>
                <w:shd w:val="clear" w:color="auto" w:fill="FFFFFF"/>
              </w:rPr>
            </w:pPr>
            <w:r w:rsidRPr="004E4166">
              <w:rPr>
                <w:rFonts w:ascii="Times New Roman" w:hAnsi="Times New Roman"/>
                <w:b/>
                <w:bCs/>
                <w:sz w:val="20"/>
                <w:szCs w:val="20"/>
                <w:u w:val="single"/>
                <w:bdr w:val="none" w:sz="0" w:space="0" w:color="auto" w:frame="1"/>
                <w:shd w:val="clear" w:color="auto" w:fill="FFFFFF"/>
              </w:rPr>
              <w:t>Дополнительные характеристики*:</w:t>
            </w:r>
          </w:p>
          <w:p w:rsidR="004E4166" w:rsidRPr="004E4166" w:rsidRDefault="004E4166" w:rsidP="00760DB8">
            <w:pPr>
              <w:jc w:val="both"/>
              <w:rPr>
                <w:rFonts w:ascii="Times New Roman" w:hAnsi="Times New Roman"/>
                <w:bCs/>
                <w:sz w:val="20"/>
                <w:szCs w:val="20"/>
                <w:bdr w:val="none" w:sz="0" w:space="0" w:color="auto" w:frame="1"/>
                <w:shd w:val="clear" w:color="auto" w:fill="FFFFFF"/>
              </w:rPr>
            </w:pPr>
            <w:r w:rsidRPr="004E4166">
              <w:rPr>
                <w:rFonts w:ascii="Times New Roman" w:hAnsi="Times New Roman"/>
                <w:bCs/>
                <w:sz w:val="20"/>
                <w:szCs w:val="20"/>
                <w:bdr w:val="none" w:sz="0" w:space="0" w:color="auto" w:frame="1"/>
                <w:shd w:val="clear" w:color="auto" w:fill="FFFFFF"/>
              </w:rPr>
              <w:t xml:space="preserve">Порошок должен использоваться в стиральных машинах любого типа. Защищать элементы стиральной машины от известкового налета и накипи. </w:t>
            </w:r>
          </w:p>
          <w:p w:rsidR="004E4166" w:rsidRPr="004E4166" w:rsidRDefault="004E4166" w:rsidP="00760DB8">
            <w:pPr>
              <w:jc w:val="both"/>
              <w:rPr>
                <w:rFonts w:ascii="Times New Roman" w:hAnsi="Times New Roman"/>
                <w:bCs/>
                <w:sz w:val="20"/>
                <w:szCs w:val="20"/>
                <w:bdr w:val="none" w:sz="0" w:space="0" w:color="auto" w:frame="1"/>
                <w:shd w:val="clear" w:color="auto" w:fill="FFFFFF"/>
              </w:rPr>
            </w:pPr>
            <w:r w:rsidRPr="004E4166">
              <w:rPr>
                <w:rFonts w:ascii="Times New Roman" w:hAnsi="Times New Roman"/>
                <w:bCs/>
                <w:sz w:val="20"/>
                <w:szCs w:val="20"/>
                <w:bdr w:val="none" w:sz="0" w:space="0" w:color="auto" w:frame="1"/>
                <w:shd w:val="clear" w:color="auto" w:fill="FFFFFF"/>
              </w:rPr>
              <w:t>В состав порошка должны входить: анионные ПАВ в диапазоне от 5% до 15%, неионогенные ПАВ менее 5%, отбеливающие вещества на основе кислорода, фосфонаты, поликарбоксилаты, цеолиты, энзимы, оптические отбеливатели, ароматизирующие добавки (значение параметров процентного содержания не требует конкретизации).</w:t>
            </w:r>
          </w:p>
          <w:p w:rsidR="004E4166" w:rsidRPr="004E4166" w:rsidRDefault="004E4166" w:rsidP="00760DB8">
            <w:pPr>
              <w:jc w:val="both"/>
              <w:rPr>
                <w:rFonts w:ascii="Times New Roman" w:hAnsi="Times New Roman"/>
                <w:bCs/>
                <w:sz w:val="20"/>
                <w:szCs w:val="20"/>
                <w:bdr w:val="none" w:sz="0" w:space="0" w:color="auto" w:frame="1"/>
                <w:shd w:val="clear" w:color="auto" w:fill="FFFFFF"/>
              </w:rPr>
            </w:pPr>
            <w:r w:rsidRPr="004E4166">
              <w:rPr>
                <w:rFonts w:ascii="Times New Roman" w:hAnsi="Times New Roman"/>
                <w:bCs/>
                <w:sz w:val="20"/>
                <w:szCs w:val="20"/>
                <w:bdr w:val="none" w:sz="0" w:space="0" w:color="auto" w:frame="1"/>
                <w:shd w:val="clear" w:color="auto" w:fill="FFFFFF"/>
              </w:rPr>
              <w:t>Фасовка: объемом 3 кг, в оригинальной упаковке производителя.</w:t>
            </w:r>
          </w:p>
          <w:p w:rsidR="004E4166" w:rsidRPr="004E4166" w:rsidRDefault="004E4166" w:rsidP="00760DB8">
            <w:pPr>
              <w:jc w:val="both"/>
              <w:rPr>
                <w:rFonts w:ascii="Times New Roman" w:hAnsi="Times New Roman"/>
                <w:bCs/>
                <w:sz w:val="20"/>
                <w:szCs w:val="20"/>
                <w:bdr w:val="none" w:sz="0" w:space="0" w:color="auto" w:frame="1"/>
                <w:shd w:val="clear" w:color="auto" w:fill="FFFFFF"/>
              </w:rPr>
            </w:pPr>
            <w:r w:rsidRPr="004E4166">
              <w:rPr>
                <w:rFonts w:ascii="Times New Roman" w:hAnsi="Times New Roman"/>
                <w:bCs/>
                <w:sz w:val="20"/>
                <w:szCs w:val="20"/>
                <w:bdr w:val="none" w:sz="0" w:space="0" w:color="auto" w:frame="1"/>
                <w:shd w:val="clear" w:color="auto" w:fill="FFFFFF"/>
              </w:rPr>
              <w:t>Упаковка и транспортная упаковка должны обеспечивать безопасность и сохранность средств при транспортировании, хранении и использовании.</w:t>
            </w:r>
          </w:p>
        </w:tc>
        <w:tc>
          <w:tcPr>
            <w:tcW w:w="1134" w:type="dxa"/>
            <w:shd w:val="clear" w:color="auto" w:fill="FFFFFF" w:themeFill="background1"/>
          </w:tcPr>
          <w:p w:rsidR="004E4166" w:rsidRPr="008E0F10" w:rsidRDefault="004E4166" w:rsidP="00D32140">
            <w:pPr>
              <w:ind w:left="-1"/>
              <w:jc w:val="center"/>
              <w:rPr>
                <w:rFonts w:ascii="Times New Roman" w:hAnsi="Times New Roman"/>
                <w:color w:val="000000"/>
                <w:sz w:val="20"/>
                <w:szCs w:val="20"/>
              </w:rPr>
            </w:pPr>
            <w:r>
              <w:rPr>
                <w:rFonts w:ascii="Times New Roman" w:hAnsi="Times New Roman"/>
                <w:color w:val="000000"/>
                <w:sz w:val="20"/>
                <w:szCs w:val="20"/>
              </w:rPr>
              <w:t>кг</w:t>
            </w:r>
          </w:p>
        </w:tc>
        <w:tc>
          <w:tcPr>
            <w:tcW w:w="992" w:type="dxa"/>
          </w:tcPr>
          <w:p w:rsidR="004E4166" w:rsidRPr="008E0F10" w:rsidRDefault="00FB20A4" w:rsidP="00D32140">
            <w:pPr>
              <w:jc w:val="center"/>
              <w:rPr>
                <w:rFonts w:ascii="Times New Roman" w:hAnsi="Times New Roman"/>
                <w:sz w:val="20"/>
                <w:szCs w:val="20"/>
              </w:rPr>
            </w:pPr>
            <w:r>
              <w:rPr>
                <w:rFonts w:ascii="Times New Roman" w:hAnsi="Times New Roman"/>
                <w:sz w:val="20"/>
                <w:szCs w:val="20"/>
              </w:rPr>
              <w:t>210</w:t>
            </w:r>
          </w:p>
        </w:tc>
        <w:tc>
          <w:tcPr>
            <w:tcW w:w="1843" w:type="dxa"/>
            <w:shd w:val="clear" w:color="auto" w:fill="FFFFFF" w:themeFill="background1"/>
          </w:tcPr>
          <w:p w:rsidR="004E4166" w:rsidRPr="008E0F10" w:rsidRDefault="004E4166" w:rsidP="00D32140">
            <w:pPr>
              <w:ind w:left="-1"/>
              <w:jc w:val="center"/>
              <w:rPr>
                <w:rFonts w:ascii="Times New Roman" w:hAnsi="Times New Roman"/>
                <w:sz w:val="20"/>
                <w:szCs w:val="20"/>
              </w:rPr>
            </w:pPr>
            <w:r w:rsidRPr="004E4166">
              <w:rPr>
                <w:rFonts w:ascii="Times New Roman" w:hAnsi="Times New Roman"/>
                <w:sz w:val="20"/>
                <w:szCs w:val="20"/>
              </w:rPr>
              <w:t>20.41.32.121-00000006</w:t>
            </w:r>
          </w:p>
        </w:tc>
        <w:tc>
          <w:tcPr>
            <w:tcW w:w="1701" w:type="dxa"/>
            <w:shd w:val="clear" w:color="auto" w:fill="FFFF99"/>
          </w:tcPr>
          <w:p w:rsidR="004E4166" w:rsidRPr="008E0F10" w:rsidRDefault="004E4166" w:rsidP="00D32140">
            <w:pPr>
              <w:ind w:left="-1"/>
              <w:jc w:val="center"/>
              <w:rPr>
                <w:rFonts w:ascii="Times New Roman" w:hAnsi="Times New Roman"/>
                <w:sz w:val="20"/>
                <w:szCs w:val="20"/>
              </w:rPr>
            </w:pPr>
          </w:p>
        </w:tc>
        <w:tc>
          <w:tcPr>
            <w:tcW w:w="1701" w:type="dxa"/>
            <w:shd w:val="clear" w:color="auto" w:fill="FFFF99"/>
          </w:tcPr>
          <w:p w:rsidR="004E4166" w:rsidRPr="008E0F10" w:rsidRDefault="004E4166" w:rsidP="00D32140">
            <w:pPr>
              <w:ind w:left="-1"/>
              <w:jc w:val="center"/>
              <w:rPr>
                <w:rFonts w:ascii="Times New Roman" w:hAnsi="Times New Roman"/>
                <w:sz w:val="20"/>
                <w:szCs w:val="20"/>
              </w:rPr>
            </w:pPr>
          </w:p>
        </w:tc>
        <w:tc>
          <w:tcPr>
            <w:tcW w:w="1559" w:type="dxa"/>
            <w:shd w:val="clear" w:color="auto" w:fill="FFFF99"/>
          </w:tcPr>
          <w:p w:rsidR="004E4166" w:rsidRPr="008E0F10" w:rsidRDefault="004E4166" w:rsidP="00D32140">
            <w:pPr>
              <w:ind w:left="-1"/>
              <w:jc w:val="center"/>
              <w:rPr>
                <w:rFonts w:ascii="Times New Roman" w:hAnsi="Times New Roman"/>
                <w:sz w:val="20"/>
                <w:szCs w:val="20"/>
              </w:rPr>
            </w:pPr>
          </w:p>
        </w:tc>
      </w:tr>
      <w:tr w:rsidR="00625729" w:rsidRPr="008E0F10" w:rsidTr="00D32140">
        <w:tc>
          <w:tcPr>
            <w:tcW w:w="539" w:type="dxa"/>
          </w:tcPr>
          <w:p w:rsidR="00625729" w:rsidRPr="008E0F10" w:rsidRDefault="00625729" w:rsidP="00D32140">
            <w:pPr>
              <w:rPr>
                <w:rFonts w:ascii="Times New Roman" w:hAnsi="Times New Roman"/>
                <w:sz w:val="20"/>
                <w:szCs w:val="20"/>
              </w:rPr>
            </w:pPr>
            <w:r w:rsidRPr="008E0F10">
              <w:rPr>
                <w:rFonts w:ascii="Times New Roman" w:hAnsi="Times New Roman"/>
                <w:sz w:val="20"/>
                <w:szCs w:val="20"/>
              </w:rPr>
              <w:t>2</w:t>
            </w:r>
          </w:p>
        </w:tc>
        <w:tc>
          <w:tcPr>
            <w:tcW w:w="2121" w:type="dxa"/>
          </w:tcPr>
          <w:p w:rsidR="00625729" w:rsidRPr="008E0F10" w:rsidRDefault="00625729" w:rsidP="00D32140">
            <w:pPr>
              <w:rPr>
                <w:rFonts w:ascii="Times New Roman" w:hAnsi="Times New Roman"/>
                <w:sz w:val="20"/>
                <w:szCs w:val="20"/>
              </w:rPr>
            </w:pPr>
            <w:r w:rsidRPr="00625729">
              <w:rPr>
                <w:rFonts w:ascii="Times New Roman" w:hAnsi="Times New Roman"/>
                <w:sz w:val="20"/>
                <w:szCs w:val="20"/>
              </w:rPr>
              <w:t>Средство моющее универсальное</w:t>
            </w:r>
          </w:p>
        </w:tc>
        <w:tc>
          <w:tcPr>
            <w:tcW w:w="4536" w:type="dxa"/>
          </w:tcPr>
          <w:p w:rsidR="00625729" w:rsidRPr="008E0F10" w:rsidRDefault="00625729" w:rsidP="00D32140">
            <w:pPr>
              <w:ind w:left="-1"/>
              <w:jc w:val="both"/>
              <w:rPr>
                <w:rFonts w:ascii="Times New Roman" w:hAnsi="Times New Roman"/>
                <w:color w:val="000000"/>
                <w:sz w:val="20"/>
                <w:szCs w:val="20"/>
              </w:rPr>
            </w:pPr>
            <w:r w:rsidRPr="008E0F10">
              <w:rPr>
                <w:rFonts w:ascii="Times New Roman" w:hAnsi="Times New Roman"/>
                <w:color w:val="000000"/>
                <w:sz w:val="20"/>
                <w:szCs w:val="20"/>
              </w:rPr>
              <w:t>Форма выпуска: Гель</w:t>
            </w:r>
          </w:p>
          <w:p w:rsidR="00625729" w:rsidRPr="008E0F10" w:rsidRDefault="00625729" w:rsidP="00D32140">
            <w:pPr>
              <w:ind w:left="-1"/>
              <w:jc w:val="both"/>
              <w:rPr>
                <w:rFonts w:ascii="Times New Roman" w:hAnsi="Times New Roman"/>
                <w:color w:val="000000"/>
                <w:sz w:val="20"/>
                <w:szCs w:val="20"/>
              </w:rPr>
            </w:pPr>
            <w:r w:rsidRPr="008E0F10">
              <w:rPr>
                <w:rFonts w:ascii="Times New Roman" w:hAnsi="Times New Roman"/>
                <w:color w:val="000000"/>
                <w:sz w:val="20"/>
                <w:szCs w:val="20"/>
              </w:rPr>
              <w:t>Средство должно быть предназначено для чистки кафеля, фаянсовых изделий, в том числе различного сантехнического оборудования от ржавчины, известковых отложений, жировых и прочих загрязнений. Средство должно уничтожать возбудителей кишечных инфекций.</w:t>
            </w:r>
          </w:p>
          <w:p w:rsidR="00625729" w:rsidRPr="008E0F10" w:rsidRDefault="00625729" w:rsidP="00D32140">
            <w:pPr>
              <w:ind w:left="-1"/>
              <w:jc w:val="both"/>
              <w:rPr>
                <w:rFonts w:ascii="Times New Roman" w:hAnsi="Times New Roman"/>
                <w:color w:val="000000"/>
                <w:sz w:val="20"/>
                <w:szCs w:val="20"/>
                <w:highlight w:val="yellow"/>
              </w:rPr>
            </w:pPr>
            <w:r w:rsidRPr="008E0F10">
              <w:rPr>
                <w:rFonts w:ascii="Times New Roman" w:hAnsi="Times New Roman"/>
                <w:b/>
                <w:color w:val="000000"/>
                <w:sz w:val="20"/>
                <w:szCs w:val="20"/>
              </w:rPr>
              <w:t>В состав средства должны входить:</w:t>
            </w:r>
            <w:r w:rsidRPr="008E0F10">
              <w:rPr>
                <w:rFonts w:ascii="Times New Roman" w:hAnsi="Times New Roman"/>
                <w:color w:val="000000"/>
                <w:sz w:val="20"/>
                <w:szCs w:val="20"/>
              </w:rPr>
              <w:t xml:space="preserve"> &lt;5%  катионные ПАВ, ароматизатор, хлорид серебра; 5%-15% анионные ПАВ, щавелевая кислота </w:t>
            </w:r>
            <w:r w:rsidRPr="008E0F10">
              <w:rPr>
                <w:rFonts w:ascii="Times New Roman" w:hAnsi="Times New Roman"/>
                <w:color w:val="000000"/>
                <w:sz w:val="20"/>
                <w:szCs w:val="20"/>
                <w:u w:val="single"/>
              </w:rPr>
              <w:t>(</w:t>
            </w:r>
            <w:r w:rsidRPr="008E0F10">
              <w:rPr>
                <w:rFonts w:ascii="Times New Roman" w:hAnsi="Times New Roman"/>
                <w:bCs/>
                <w:i/>
                <w:color w:val="000000"/>
                <w:sz w:val="20"/>
                <w:szCs w:val="20"/>
                <w:u w:val="single"/>
                <w:bdr w:val="none" w:sz="0" w:space="0" w:color="auto" w:frame="1"/>
                <w:shd w:val="clear" w:color="auto" w:fill="FFFFFF"/>
              </w:rPr>
              <w:t>значение параметров процентного содержания не требует конкретизации</w:t>
            </w:r>
            <w:r w:rsidRPr="008E0F10">
              <w:rPr>
                <w:rFonts w:ascii="Times New Roman" w:hAnsi="Times New Roman"/>
                <w:bCs/>
                <w:i/>
                <w:color w:val="000000"/>
                <w:sz w:val="20"/>
                <w:szCs w:val="20"/>
                <w:bdr w:val="none" w:sz="0" w:space="0" w:color="auto" w:frame="1"/>
                <w:shd w:val="clear" w:color="auto" w:fill="FFFFFF"/>
              </w:rPr>
              <w:t>).</w:t>
            </w:r>
          </w:p>
          <w:p w:rsidR="00625729" w:rsidRPr="008E0F10" w:rsidRDefault="00625729" w:rsidP="00D32140">
            <w:pPr>
              <w:tabs>
                <w:tab w:val="left" w:pos="1630"/>
              </w:tabs>
              <w:ind w:left="-1"/>
              <w:jc w:val="both"/>
              <w:rPr>
                <w:rFonts w:ascii="Times New Roman" w:hAnsi="Times New Roman"/>
                <w:color w:val="000000"/>
                <w:sz w:val="20"/>
                <w:szCs w:val="20"/>
              </w:rPr>
            </w:pPr>
            <w:r w:rsidRPr="008E0F10">
              <w:rPr>
                <w:rFonts w:ascii="Times New Roman" w:hAnsi="Times New Roman"/>
                <w:b/>
                <w:color w:val="000000"/>
                <w:sz w:val="20"/>
                <w:szCs w:val="20"/>
              </w:rPr>
              <w:t xml:space="preserve">Фасовка: </w:t>
            </w:r>
            <w:r w:rsidRPr="008E0F10">
              <w:rPr>
                <w:rFonts w:ascii="Times New Roman" w:hAnsi="Times New Roman"/>
                <w:color w:val="000000"/>
                <w:sz w:val="20"/>
                <w:szCs w:val="20"/>
              </w:rPr>
              <w:t>поставляется в пластиковых  непрозрачных канистрах с ручкой и колпачком</w:t>
            </w:r>
            <w:r>
              <w:rPr>
                <w:rFonts w:ascii="Times New Roman" w:hAnsi="Times New Roman"/>
                <w:color w:val="000000"/>
                <w:sz w:val="20"/>
                <w:szCs w:val="20"/>
              </w:rPr>
              <w:t>-</w:t>
            </w:r>
            <w:r w:rsidRPr="008E0F10">
              <w:rPr>
                <w:rFonts w:ascii="Times New Roman" w:hAnsi="Times New Roman"/>
                <w:color w:val="000000"/>
                <w:sz w:val="20"/>
                <w:szCs w:val="20"/>
              </w:rPr>
              <w:t>дозатором, массой не менее  1000 и не более 1100 гр.</w:t>
            </w:r>
          </w:p>
          <w:p w:rsidR="00625729" w:rsidRPr="008E0F10" w:rsidRDefault="00625729" w:rsidP="00D32140">
            <w:pPr>
              <w:ind w:left="-1"/>
              <w:jc w:val="both"/>
              <w:rPr>
                <w:rFonts w:ascii="Times New Roman" w:hAnsi="Times New Roman"/>
                <w:color w:val="000000"/>
                <w:sz w:val="20"/>
                <w:szCs w:val="20"/>
              </w:rPr>
            </w:pPr>
            <w:r w:rsidRPr="008E0F10">
              <w:rPr>
                <w:rFonts w:ascii="Times New Roman" w:hAnsi="Times New Roman"/>
                <w:b/>
                <w:color w:val="000000"/>
                <w:sz w:val="20"/>
                <w:szCs w:val="20"/>
              </w:rPr>
              <w:t>Упаковка и транспортная упаковка</w:t>
            </w:r>
            <w:r w:rsidRPr="008E0F10">
              <w:rPr>
                <w:rFonts w:ascii="Times New Roman" w:hAnsi="Times New Roman"/>
                <w:color w:val="000000"/>
                <w:sz w:val="20"/>
                <w:szCs w:val="20"/>
              </w:rPr>
              <w:t xml:space="preserve"> должны обеспечивать безопасность и сохранность средств при транспортировании, хранении и использовании.</w:t>
            </w:r>
          </w:p>
        </w:tc>
        <w:tc>
          <w:tcPr>
            <w:tcW w:w="1134" w:type="dxa"/>
          </w:tcPr>
          <w:p w:rsidR="00625729" w:rsidRPr="008E0F10" w:rsidRDefault="00625729" w:rsidP="00D32140">
            <w:pPr>
              <w:ind w:left="-1"/>
              <w:jc w:val="center"/>
              <w:rPr>
                <w:rFonts w:ascii="Times New Roman" w:hAnsi="Times New Roman"/>
                <w:color w:val="000000"/>
                <w:sz w:val="20"/>
                <w:szCs w:val="20"/>
              </w:rPr>
            </w:pPr>
            <w:r>
              <w:rPr>
                <w:rFonts w:ascii="Times New Roman" w:hAnsi="Times New Roman"/>
                <w:color w:val="000000"/>
                <w:sz w:val="20"/>
                <w:szCs w:val="20"/>
              </w:rPr>
              <w:t>шт</w:t>
            </w:r>
          </w:p>
        </w:tc>
        <w:tc>
          <w:tcPr>
            <w:tcW w:w="992" w:type="dxa"/>
          </w:tcPr>
          <w:p w:rsidR="00625729" w:rsidRPr="008E0F10" w:rsidRDefault="00FB20A4" w:rsidP="00D32140">
            <w:pPr>
              <w:jc w:val="center"/>
              <w:rPr>
                <w:rFonts w:ascii="Times New Roman" w:hAnsi="Times New Roman"/>
                <w:sz w:val="20"/>
                <w:szCs w:val="20"/>
              </w:rPr>
            </w:pPr>
            <w:r>
              <w:rPr>
                <w:rFonts w:ascii="Times New Roman" w:hAnsi="Times New Roman"/>
                <w:sz w:val="20"/>
                <w:szCs w:val="20"/>
              </w:rPr>
              <w:t>300</w:t>
            </w:r>
          </w:p>
        </w:tc>
        <w:tc>
          <w:tcPr>
            <w:tcW w:w="1843" w:type="dxa"/>
          </w:tcPr>
          <w:p w:rsidR="00625729" w:rsidRPr="008E0F10" w:rsidRDefault="00625729" w:rsidP="00D32140">
            <w:pPr>
              <w:ind w:left="-1"/>
              <w:jc w:val="center"/>
              <w:rPr>
                <w:rFonts w:ascii="Times New Roman" w:hAnsi="Times New Roman"/>
                <w:sz w:val="20"/>
                <w:szCs w:val="20"/>
              </w:rPr>
            </w:pPr>
            <w:r w:rsidRPr="00625729">
              <w:rPr>
                <w:rFonts w:ascii="Times New Roman" w:hAnsi="Times New Roman"/>
                <w:sz w:val="20"/>
                <w:szCs w:val="20"/>
              </w:rPr>
              <w:t>20.41.32.119</w:t>
            </w:r>
          </w:p>
        </w:tc>
        <w:tc>
          <w:tcPr>
            <w:tcW w:w="1701" w:type="dxa"/>
            <w:shd w:val="clear" w:color="auto" w:fill="FFFF99"/>
          </w:tcPr>
          <w:p w:rsidR="00625729" w:rsidRPr="008E0F10" w:rsidRDefault="00625729" w:rsidP="00D32140">
            <w:pPr>
              <w:ind w:left="-1"/>
              <w:jc w:val="center"/>
              <w:rPr>
                <w:rFonts w:ascii="Times New Roman" w:hAnsi="Times New Roman"/>
                <w:color w:val="000000"/>
                <w:sz w:val="20"/>
                <w:szCs w:val="20"/>
              </w:rPr>
            </w:pPr>
          </w:p>
        </w:tc>
        <w:tc>
          <w:tcPr>
            <w:tcW w:w="1701" w:type="dxa"/>
            <w:shd w:val="clear" w:color="auto" w:fill="FFFF99"/>
          </w:tcPr>
          <w:p w:rsidR="00625729" w:rsidRPr="008E0F10" w:rsidRDefault="00625729" w:rsidP="00D32140">
            <w:pPr>
              <w:ind w:left="-1"/>
              <w:jc w:val="center"/>
              <w:rPr>
                <w:rFonts w:ascii="Times New Roman" w:hAnsi="Times New Roman"/>
                <w:color w:val="000000"/>
                <w:sz w:val="20"/>
                <w:szCs w:val="20"/>
              </w:rPr>
            </w:pPr>
          </w:p>
        </w:tc>
        <w:tc>
          <w:tcPr>
            <w:tcW w:w="1559" w:type="dxa"/>
            <w:shd w:val="clear" w:color="auto" w:fill="FFFF99"/>
          </w:tcPr>
          <w:p w:rsidR="00625729" w:rsidRPr="008E0F10" w:rsidRDefault="00625729" w:rsidP="00D32140">
            <w:pPr>
              <w:ind w:left="-1"/>
              <w:jc w:val="center"/>
              <w:rPr>
                <w:rFonts w:ascii="Times New Roman" w:hAnsi="Times New Roman"/>
                <w:color w:val="000000"/>
                <w:sz w:val="20"/>
                <w:szCs w:val="20"/>
              </w:rPr>
            </w:pPr>
          </w:p>
        </w:tc>
      </w:tr>
      <w:tr w:rsidR="00625729" w:rsidRPr="008E0F10" w:rsidTr="00D32140">
        <w:tc>
          <w:tcPr>
            <w:tcW w:w="539" w:type="dxa"/>
            <w:shd w:val="clear" w:color="auto" w:fill="FFFFFF" w:themeFill="background1"/>
          </w:tcPr>
          <w:p w:rsidR="00625729" w:rsidRPr="008E0F10" w:rsidRDefault="00625729" w:rsidP="00D32140">
            <w:pPr>
              <w:rPr>
                <w:rFonts w:ascii="Times New Roman" w:hAnsi="Times New Roman"/>
                <w:sz w:val="20"/>
                <w:szCs w:val="20"/>
              </w:rPr>
            </w:pPr>
            <w:r w:rsidRPr="008E0F10">
              <w:rPr>
                <w:rFonts w:ascii="Times New Roman" w:hAnsi="Times New Roman"/>
                <w:sz w:val="20"/>
                <w:szCs w:val="20"/>
              </w:rPr>
              <w:t>3</w:t>
            </w:r>
          </w:p>
        </w:tc>
        <w:tc>
          <w:tcPr>
            <w:tcW w:w="2121" w:type="dxa"/>
            <w:shd w:val="clear" w:color="auto" w:fill="FFFFFF" w:themeFill="background1"/>
          </w:tcPr>
          <w:p w:rsidR="00625729" w:rsidRPr="008E0F10" w:rsidRDefault="00FB20A4" w:rsidP="00D32140">
            <w:pPr>
              <w:ind w:left="-1"/>
              <w:jc w:val="both"/>
              <w:rPr>
                <w:rFonts w:ascii="Times New Roman" w:hAnsi="Times New Roman"/>
                <w:color w:val="000000"/>
                <w:sz w:val="20"/>
                <w:szCs w:val="20"/>
              </w:rPr>
            </w:pPr>
            <w:r w:rsidRPr="00FB20A4">
              <w:rPr>
                <w:rFonts w:ascii="Times New Roman" w:hAnsi="Times New Roman"/>
                <w:color w:val="000000"/>
                <w:sz w:val="20"/>
                <w:szCs w:val="20"/>
              </w:rPr>
              <w:t>Средство моющее</w:t>
            </w:r>
          </w:p>
        </w:tc>
        <w:tc>
          <w:tcPr>
            <w:tcW w:w="4536" w:type="dxa"/>
            <w:shd w:val="clear" w:color="auto" w:fill="FFFFFF" w:themeFill="background1"/>
          </w:tcPr>
          <w:p w:rsidR="00FB20A4" w:rsidRPr="00FB20A4" w:rsidRDefault="00FB20A4" w:rsidP="00FB20A4">
            <w:pPr>
              <w:jc w:val="both"/>
              <w:rPr>
                <w:rFonts w:ascii="Times New Roman" w:hAnsi="Times New Roman"/>
                <w:sz w:val="20"/>
                <w:szCs w:val="20"/>
              </w:rPr>
            </w:pPr>
            <w:r w:rsidRPr="00FB20A4">
              <w:rPr>
                <w:rFonts w:ascii="Times New Roman" w:hAnsi="Times New Roman"/>
                <w:sz w:val="20"/>
                <w:szCs w:val="20"/>
              </w:rPr>
              <w:t xml:space="preserve">Концентрированное жидкое пенное нейтральное моющее средство общего назначения. </w:t>
            </w:r>
          </w:p>
          <w:p w:rsidR="00FB20A4" w:rsidRPr="00FB20A4" w:rsidRDefault="00FB20A4" w:rsidP="00FB20A4">
            <w:pPr>
              <w:jc w:val="both"/>
              <w:rPr>
                <w:rFonts w:ascii="Times New Roman" w:hAnsi="Times New Roman"/>
                <w:sz w:val="20"/>
                <w:szCs w:val="20"/>
              </w:rPr>
            </w:pPr>
            <w:r w:rsidRPr="00FB20A4">
              <w:rPr>
                <w:rFonts w:ascii="Times New Roman" w:hAnsi="Times New Roman"/>
                <w:sz w:val="20"/>
                <w:szCs w:val="20"/>
              </w:rPr>
              <w:t>Средство должно относиться к химии профессиональной серии и удалять бытовые, уличные, пищевые и другие загрязнения.</w:t>
            </w:r>
          </w:p>
          <w:p w:rsidR="00FB20A4" w:rsidRPr="00FB20A4" w:rsidRDefault="00FB20A4" w:rsidP="00FB20A4">
            <w:pPr>
              <w:jc w:val="both"/>
              <w:rPr>
                <w:rFonts w:ascii="Times New Roman" w:hAnsi="Times New Roman"/>
                <w:sz w:val="20"/>
                <w:szCs w:val="20"/>
              </w:rPr>
            </w:pPr>
            <w:r w:rsidRPr="00FB20A4">
              <w:rPr>
                <w:rFonts w:ascii="Times New Roman" w:hAnsi="Times New Roman"/>
                <w:sz w:val="20"/>
                <w:szCs w:val="20"/>
              </w:rPr>
              <w:t xml:space="preserve">Средство предназначено для мытья любых поверхностей, в том числе деликатных: мраморных, деревянных, окрашенных. Рекомендовано для мытья пищевого оборудования, посуды, тары. Средство должно быть высокоэффективно при использовании метода пенной обработки. Средство должно быть разрешено для применения в лечебных учреждениях. </w:t>
            </w:r>
          </w:p>
          <w:p w:rsidR="00FB20A4" w:rsidRPr="00FB20A4" w:rsidRDefault="00FB20A4" w:rsidP="00FB20A4">
            <w:pPr>
              <w:jc w:val="both"/>
              <w:rPr>
                <w:rFonts w:ascii="Times New Roman" w:hAnsi="Times New Roman"/>
                <w:sz w:val="20"/>
                <w:szCs w:val="20"/>
              </w:rPr>
            </w:pPr>
            <w:r w:rsidRPr="00FB20A4">
              <w:rPr>
                <w:rFonts w:ascii="Times New Roman" w:hAnsi="Times New Roman"/>
                <w:sz w:val="20"/>
                <w:szCs w:val="20"/>
              </w:rPr>
              <w:t xml:space="preserve">В состав средства должны входить: вода не менее 30%, анионные ПАВ менее 5%, неионогенные ПАВ не более 5%, комплексообразователь не более 5%, хлористый натрий не более 5%, D-лимонен не более 5%, консервант не более 5% (значение параметров процентного содержания не требует конкретизации). </w:t>
            </w:r>
          </w:p>
          <w:p w:rsidR="00FB20A4" w:rsidRPr="00FB20A4" w:rsidRDefault="00FB20A4" w:rsidP="00FB20A4">
            <w:pPr>
              <w:jc w:val="both"/>
              <w:rPr>
                <w:rFonts w:ascii="Times New Roman" w:hAnsi="Times New Roman"/>
                <w:sz w:val="20"/>
                <w:szCs w:val="20"/>
              </w:rPr>
            </w:pPr>
            <w:r w:rsidRPr="00FB20A4">
              <w:rPr>
                <w:rFonts w:ascii="Times New Roman" w:hAnsi="Times New Roman"/>
                <w:sz w:val="20"/>
                <w:szCs w:val="20"/>
              </w:rPr>
              <w:t>Уровень pH 1% раствора: в диапазоне от 7,0 до 8,5.</w:t>
            </w:r>
          </w:p>
          <w:p w:rsidR="00FB20A4" w:rsidRPr="00FB20A4" w:rsidRDefault="00FB20A4" w:rsidP="00FB20A4">
            <w:pPr>
              <w:jc w:val="both"/>
              <w:rPr>
                <w:rFonts w:ascii="Times New Roman" w:hAnsi="Times New Roman"/>
                <w:sz w:val="20"/>
                <w:szCs w:val="20"/>
              </w:rPr>
            </w:pPr>
            <w:r w:rsidRPr="00FB20A4">
              <w:rPr>
                <w:rFonts w:ascii="Times New Roman" w:hAnsi="Times New Roman"/>
                <w:sz w:val="20"/>
                <w:szCs w:val="20"/>
              </w:rPr>
              <w:t>Фасовка: объем не менее 1 л и не более 2 л (значение параметра не требует конкретизации), в оригинальной упаковке производителя.</w:t>
            </w:r>
          </w:p>
          <w:p w:rsidR="00FB20A4" w:rsidRPr="00FB20A4" w:rsidRDefault="00FB20A4" w:rsidP="00FB20A4">
            <w:pPr>
              <w:jc w:val="both"/>
              <w:rPr>
                <w:rFonts w:ascii="Times New Roman" w:hAnsi="Times New Roman"/>
                <w:sz w:val="20"/>
                <w:szCs w:val="20"/>
              </w:rPr>
            </w:pPr>
            <w:r w:rsidRPr="00FB20A4">
              <w:rPr>
                <w:rFonts w:ascii="Times New Roman" w:hAnsi="Times New Roman"/>
                <w:sz w:val="20"/>
                <w:szCs w:val="20"/>
              </w:rPr>
              <w:t>Упаковка и транспортная упаковка должны обеспечивать безопасность и сохранность средств при транспортировании, хранении и использовании.</w:t>
            </w:r>
          </w:p>
          <w:p w:rsidR="00FB20A4" w:rsidRPr="004A1851" w:rsidRDefault="00FB20A4" w:rsidP="00FB20A4">
            <w:pPr>
              <w:jc w:val="both"/>
              <w:rPr>
                <w:rFonts w:ascii="Times New Roman" w:hAnsi="Times New Roman"/>
                <w:b/>
                <w:sz w:val="20"/>
                <w:szCs w:val="20"/>
                <w:u w:val="single"/>
              </w:rPr>
            </w:pPr>
            <w:r w:rsidRPr="00FB20A4">
              <w:rPr>
                <w:rFonts w:ascii="Times New Roman" w:hAnsi="Times New Roman"/>
                <w:sz w:val="20"/>
                <w:szCs w:val="20"/>
              </w:rPr>
              <w:t xml:space="preserve"> </w:t>
            </w:r>
            <w:r w:rsidRPr="004A1851">
              <w:rPr>
                <w:rFonts w:ascii="Times New Roman" w:hAnsi="Times New Roman"/>
                <w:b/>
                <w:sz w:val="20"/>
                <w:szCs w:val="20"/>
                <w:u w:val="single"/>
              </w:rPr>
              <w:t>Дополнительные требования**:</w:t>
            </w:r>
          </w:p>
          <w:p w:rsidR="00FB20A4" w:rsidRPr="00FB20A4" w:rsidRDefault="00FB20A4" w:rsidP="00FB20A4">
            <w:pPr>
              <w:jc w:val="both"/>
              <w:rPr>
                <w:rFonts w:ascii="Times New Roman" w:hAnsi="Times New Roman"/>
                <w:sz w:val="20"/>
                <w:szCs w:val="20"/>
              </w:rPr>
            </w:pPr>
            <w:r w:rsidRPr="00FB20A4">
              <w:rPr>
                <w:rFonts w:ascii="Times New Roman" w:hAnsi="Times New Roman"/>
                <w:sz w:val="20"/>
                <w:szCs w:val="20"/>
              </w:rPr>
              <w:t>- По степени воздействия на организм человека средство должно относиться к 4-му классу (вещества малоопасные) по ГОСТ 12.1.007-76.</w:t>
            </w:r>
          </w:p>
          <w:p w:rsidR="00625729" w:rsidRPr="00FB20A4" w:rsidRDefault="00FB20A4" w:rsidP="00FB20A4">
            <w:pPr>
              <w:jc w:val="both"/>
              <w:rPr>
                <w:rFonts w:ascii="Times New Roman" w:hAnsi="Times New Roman"/>
                <w:sz w:val="20"/>
                <w:szCs w:val="20"/>
              </w:rPr>
            </w:pPr>
            <w:r w:rsidRPr="00FB20A4">
              <w:rPr>
                <w:rFonts w:ascii="Times New Roman" w:hAnsi="Times New Roman"/>
                <w:sz w:val="20"/>
                <w:szCs w:val="20"/>
              </w:rPr>
              <w:t>- Наличие инструкции по применению, разработанной для ЛПУ, паспорт безопасности на продукт, паспорт качества на партию продукта.</w:t>
            </w:r>
          </w:p>
        </w:tc>
        <w:tc>
          <w:tcPr>
            <w:tcW w:w="1134" w:type="dxa"/>
            <w:shd w:val="clear" w:color="auto" w:fill="FFFFFF" w:themeFill="background1"/>
          </w:tcPr>
          <w:p w:rsidR="00625729" w:rsidRPr="008E0F10" w:rsidRDefault="00FB20A4" w:rsidP="00D32140">
            <w:pPr>
              <w:ind w:left="-1"/>
              <w:jc w:val="center"/>
              <w:rPr>
                <w:rFonts w:ascii="Times New Roman" w:hAnsi="Times New Roman"/>
                <w:color w:val="000000"/>
                <w:sz w:val="20"/>
                <w:szCs w:val="20"/>
              </w:rPr>
            </w:pPr>
            <w:r>
              <w:rPr>
                <w:rFonts w:ascii="Times New Roman" w:hAnsi="Times New Roman"/>
                <w:color w:val="000000"/>
                <w:sz w:val="20"/>
                <w:szCs w:val="20"/>
              </w:rPr>
              <w:t>шт</w:t>
            </w:r>
          </w:p>
        </w:tc>
        <w:tc>
          <w:tcPr>
            <w:tcW w:w="992" w:type="dxa"/>
          </w:tcPr>
          <w:p w:rsidR="00625729" w:rsidRPr="008E0F10" w:rsidRDefault="00FB20A4" w:rsidP="00D32140">
            <w:pPr>
              <w:jc w:val="center"/>
              <w:rPr>
                <w:rFonts w:ascii="Times New Roman" w:hAnsi="Times New Roman"/>
                <w:sz w:val="20"/>
                <w:szCs w:val="20"/>
              </w:rPr>
            </w:pPr>
            <w:r>
              <w:rPr>
                <w:rFonts w:ascii="Times New Roman" w:hAnsi="Times New Roman"/>
                <w:sz w:val="20"/>
                <w:szCs w:val="20"/>
              </w:rPr>
              <w:t>300</w:t>
            </w:r>
          </w:p>
        </w:tc>
        <w:tc>
          <w:tcPr>
            <w:tcW w:w="1843" w:type="dxa"/>
            <w:shd w:val="clear" w:color="auto" w:fill="FFFFFF" w:themeFill="background1"/>
          </w:tcPr>
          <w:p w:rsidR="00625729" w:rsidRPr="008E0F10" w:rsidRDefault="00FB20A4" w:rsidP="00D32140">
            <w:pPr>
              <w:ind w:left="-1"/>
              <w:jc w:val="center"/>
              <w:rPr>
                <w:rFonts w:ascii="Times New Roman" w:hAnsi="Times New Roman"/>
                <w:sz w:val="20"/>
                <w:szCs w:val="20"/>
              </w:rPr>
            </w:pPr>
            <w:r w:rsidRPr="00FB20A4">
              <w:rPr>
                <w:rFonts w:ascii="Times New Roman" w:hAnsi="Times New Roman"/>
                <w:sz w:val="20"/>
                <w:szCs w:val="20"/>
              </w:rPr>
              <w:t>20.41.32.110</w:t>
            </w:r>
          </w:p>
        </w:tc>
        <w:tc>
          <w:tcPr>
            <w:tcW w:w="1701" w:type="dxa"/>
            <w:shd w:val="clear" w:color="auto" w:fill="FFFF99"/>
          </w:tcPr>
          <w:p w:rsidR="00625729" w:rsidRPr="008E0F10" w:rsidRDefault="00625729" w:rsidP="00D32140">
            <w:pPr>
              <w:ind w:left="-1"/>
              <w:jc w:val="center"/>
              <w:rPr>
                <w:rFonts w:ascii="Times New Roman" w:hAnsi="Times New Roman"/>
                <w:sz w:val="20"/>
                <w:szCs w:val="20"/>
              </w:rPr>
            </w:pPr>
          </w:p>
        </w:tc>
        <w:tc>
          <w:tcPr>
            <w:tcW w:w="1701" w:type="dxa"/>
            <w:shd w:val="clear" w:color="auto" w:fill="FFFF99"/>
          </w:tcPr>
          <w:p w:rsidR="00625729" w:rsidRPr="008E0F10" w:rsidRDefault="00625729" w:rsidP="00D32140">
            <w:pPr>
              <w:ind w:left="-1"/>
              <w:jc w:val="center"/>
              <w:rPr>
                <w:rFonts w:ascii="Times New Roman" w:hAnsi="Times New Roman"/>
                <w:sz w:val="20"/>
                <w:szCs w:val="20"/>
              </w:rPr>
            </w:pPr>
          </w:p>
        </w:tc>
        <w:tc>
          <w:tcPr>
            <w:tcW w:w="1559" w:type="dxa"/>
            <w:shd w:val="clear" w:color="auto" w:fill="FFFF99"/>
          </w:tcPr>
          <w:p w:rsidR="00625729" w:rsidRPr="008E0F10" w:rsidRDefault="00625729" w:rsidP="00D32140">
            <w:pPr>
              <w:ind w:left="-1"/>
              <w:jc w:val="center"/>
              <w:rPr>
                <w:rFonts w:ascii="Times New Roman" w:hAnsi="Times New Roman"/>
                <w:sz w:val="20"/>
                <w:szCs w:val="20"/>
              </w:rPr>
            </w:pPr>
          </w:p>
        </w:tc>
      </w:tr>
    </w:tbl>
    <w:p w:rsidR="004A1851" w:rsidRDefault="004A1851" w:rsidP="00760DB8">
      <w:pPr>
        <w:jc w:val="both"/>
        <w:rPr>
          <w:rFonts w:ascii="Times New Roman" w:hAnsi="Times New Roman" w:cs="Times New Roman"/>
          <w:b/>
          <w:sz w:val="28"/>
          <w:szCs w:val="28"/>
        </w:rPr>
      </w:pPr>
      <w:r w:rsidRPr="005656B9">
        <w:rPr>
          <w:rFonts w:ascii="Times New Roman" w:hAnsi="Times New Roman" w:cs="Times New Roman"/>
          <w:b/>
          <w:sz w:val="28"/>
          <w:szCs w:val="28"/>
        </w:rPr>
        <w:t xml:space="preserve">* </w:t>
      </w:r>
      <w:r>
        <w:rPr>
          <w:rFonts w:ascii="Times New Roman" w:hAnsi="Times New Roman" w:cs="Times New Roman"/>
          <w:b/>
          <w:sz w:val="28"/>
          <w:szCs w:val="28"/>
        </w:rPr>
        <w:t>Требования в части необходимости соответствия товара д</w:t>
      </w:r>
      <w:r w:rsidRPr="005656B9">
        <w:rPr>
          <w:rFonts w:ascii="Times New Roman" w:hAnsi="Times New Roman" w:cs="Times New Roman"/>
          <w:b/>
          <w:sz w:val="28"/>
          <w:szCs w:val="28"/>
        </w:rPr>
        <w:t>ополнительны</w:t>
      </w:r>
      <w:r>
        <w:rPr>
          <w:rFonts w:ascii="Times New Roman" w:hAnsi="Times New Roman" w:cs="Times New Roman"/>
          <w:b/>
          <w:sz w:val="28"/>
          <w:szCs w:val="28"/>
        </w:rPr>
        <w:t>м</w:t>
      </w:r>
      <w:r w:rsidRPr="005656B9">
        <w:rPr>
          <w:rFonts w:ascii="Times New Roman" w:hAnsi="Times New Roman" w:cs="Times New Roman"/>
          <w:b/>
          <w:sz w:val="28"/>
          <w:szCs w:val="28"/>
        </w:rPr>
        <w:t xml:space="preserve"> </w:t>
      </w:r>
      <w:r>
        <w:rPr>
          <w:rFonts w:ascii="Times New Roman" w:hAnsi="Times New Roman" w:cs="Times New Roman"/>
          <w:b/>
          <w:sz w:val="28"/>
          <w:szCs w:val="28"/>
        </w:rPr>
        <w:t xml:space="preserve">характеристикам </w:t>
      </w:r>
      <w:r w:rsidRPr="005656B9">
        <w:rPr>
          <w:rFonts w:ascii="Times New Roman" w:hAnsi="Times New Roman" w:cs="Times New Roman"/>
          <w:b/>
          <w:sz w:val="28"/>
          <w:szCs w:val="28"/>
        </w:rPr>
        <w:t>вызваны потребностью в товаре, обладающим определенными качественными, функциональными и техническими характеристиками, в соответствии с потребностями Заказчика, исходя из назначения товара и условий его использования.</w:t>
      </w:r>
    </w:p>
    <w:p w:rsidR="004A1851" w:rsidRPr="005656B9" w:rsidRDefault="004A1851" w:rsidP="00760DB8">
      <w:pPr>
        <w:jc w:val="both"/>
        <w:rPr>
          <w:rFonts w:ascii="Times New Roman" w:hAnsi="Times New Roman" w:cs="Times New Roman"/>
          <w:b/>
          <w:sz w:val="28"/>
          <w:szCs w:val="28"/>
        </w:rPr>
      </w:pPr>
      <w:r>
        <w:rPr>
          <w:rFonts w:ascii="Times New Roman" w:hAnsi="Times New Roman" w:cs="Times New Roman"/>
          <w:b/>
          <w:sz w:val="28"/>
          <w:szCs w:val="28"/>
        </w:rPr>
        <w:t>** Необходимость соответствия товара дополнительным требованиям обусловлен</w:t>
      </w:r>
      <w:r w:rsidR="00760DB8">
        <w:rPr>
          <w:rFonts w:ascii="Times New Roman" w:hAnsi="Times New Roman" w:cs="Times New Roman"/>
          <w:b/>
          <w:sz w:val="28"/>
          <w:szCs w:val="28"/>
        </w:rPr>
        <w:t>а</w:t>
      </w:r>
      <w:r>
        <w:rPr>
          <w:rFonts w:ascii="Times New Roman" w:hAnsi="Times New Roman" w:cs="Times New Roman"/>
          <w:b/>
          <w:sz w:val="28"/>
          <w:szCs w:val="28"/>
        </w:rPr>
        <w:t xml:space="preserve"> потребностью в товаре соответствующем определенным </w:t>
      </w:r>
      <w:r w:rsidRPr="00737BBE">
        <w:rPr>
          <w:rFonts w:ascii="Times New Roman" w:hAnsi="Times New Roman" w:cs="Times New Roman"/>
          <w:b/>
          <w:sz w:val="28"/>
          <w:szCs w:val="28"/>
        </w:rPr>
        <w:t>эпидемиологически</w:t>
      </w:r>
      <w:r>
        <w:rPr>
          <w:rFonts w:ascii="Times New Roman" w:hAnsi="Times New Roman" w:cs="Times New Roman"/>
          <w:b/>
          <w:sz w:val="28"/>
          <w:szCs w:val="28"/>
        </w:rPr>
        <w:t>м</w:t>
      </w:r>
      <w:r w:rsidRPr="00737BBE">
        <w:rPr>
          <w:rFonts w:ascii="Times New Roman" w:hAnsi="Times New Roman" w:cs="Times New Roman"/>
          <w:b/>
          <w:sz w:val="28"/>
          <w:szCs w:val="28"/>
        </w:rPr>
        <w:t xml:space="preserve"> норм</w:t>
      </w:r>
      <w:r>
        <w:rPr>
          <w:rFonts w:ascii="Times New Roman" w:hAnsi="Times New Roman" w:cs="Times New Roman"/>
          <w:b/>
          <w:sz w:val="28"/>
          <w:szCs w:val="28"/>
        </w:rPr>
        <w:t>ам</w:t>
      </w:r>
      <w:r w:rsidRPr="00737BBE">
        <w:rPr>
          <w:rFonts w:ascii="Times New Roman" w:hAnsi="Times New Roman" w:cs="Times New Roman"/>
          <w:b/>
          <w:sz w:val="28"/>
          <w:szCs w:val="28"/>
        </w:rPr>
        <w:t xml:space="preserve"> и правила</w:t>
      </w:r>
      <w:r>
        <w:rPr>
          <w:rFonts w:ascii="Times New Roman" w:hAnsi="Times New Roman" w:cs="Times New Roman"/>
          <w:b/>
          <w:sz w:val="28"/>
          <w:szCs w:val="28"/>
        </w:rPr>
        <w:t>м, в том числе</w:t>
      </w:r>
      <w:r w:rsidR="00760DB8">
        <w:rPr>
          <w:rFonts w:ascii="Times New Roman" w:hAnsi="Times New Roman" w:cs="Times New Roman"/>
          <w:b/>
          <w:sz w:val="28"/>
          <w:szCs w:val="28"/>
        </w:rPr>
        <w:t>,</w:t>
      </w:r>
      <w:r>
        <w:rPr>
          <w:rFonts w:ascii="Times New Roman" w:hAnsi="Times New Roman" w:cs="Times New Roman"/>
          <w:b/>
          <w:sz w:val="28"/>
          <w:szCs w:val="28"/>
        </w:rPr>
        <w:t xml:space="preserve"> в связи</w:t>
      </w:r>
      <w:r w:rsidR="00760DB8">
        <w:rPr>
          <w:rFonts w:ascii="Times New Roman" w:hAnsi="Times New Roman" w:cs="Times New Roman"/>
          <w:b/>
          <w:sz w:val="28"/>
          <w:szCs w:val="28"/>
        </w:rPr>
        <w:t xml:space="preserve"> с</w:t>
      </w:r>
      <w:r>
        <w:rPr>
          <w:rFonts w:ascii="Times New Roman" w:hAnsi="Times New Roman" w:cs="Times New Roman"/>
          <w:b/>
          <w:sz w:val="28"/>
          <w:szCs w:val="28"/>
        </w:rPr>
        <w:t xml:space="preserve"> необходимостью подтверждения его соответствия заявленным качественным характеристикам и его бе</w:t>
      </w:r>
      <w:r w:rsidR="00760DB8">
        <w:rPr>
          <w:rFonts w:ascii="Times New Roman" w:hAnsi="Times New Roman" w:cs="Times New Roman"/>
          <w:b/>
          <w:sz w:val="28"/>
          <w:szCs w:val="28"/>
        </w:rPr>
        <w:t>зопасности при использовании.</w:t>
      </w:r>
    </w:p>
    <w:p w:rsidR="004A1851" w:rsidRDefault="004A1851" w:rsidP="00760DB8">
      <w:pPr>
        <w:jc w:val="both"/>
        <w:rPr>
          <w:rFonts w:ascii="Times New Roman" w:hAnsi="Times New Roman" w:cs="Times New Roman"/>
          <w:b/>
          <w:sz w:val="28"/>
          <w:szCs w:val="28"/>
        </w:rPr>
      </w:pPr>
      <w:r w:rsidRPr="005656B9">
        <w:rPr>
          <w:rFonts w:ascii="Times New Roman" w:hAnsi="Times New Roman" w:cs="Times New Roman"/>
          <w:b/>
          <w:sz w:val="28"/>
          <w:szCs w:val="28"/>
        </w:rPr>
        <w:t>В части упаковки (фасовки) товара требование установлено в связи с условиями хранения и выдачи Товара на складе Заказчика.</w:t>
      </w:r>
    </w:p>
    <w:p w:rsidR="00170252" w:rsidRDefault="00170252" w:rsidP="00760DB8">
      <w:pPr>
        <w:jc w:val="both"/>
        <w:rPr>
          <w:rFonts w:ascii="Times New Roman" w:hAnsi="Times New Roman" w:cs="Times New Roman"/>
          <w:b/>
          <w:sz w:val="28"/>
          <w:szCs w:val="28"/>
        </w:rPr>
      </w:pPr>
    </w:p>
    <w:sectPr w:rsidR="00170252" w:rsidSect="004E4166">
      <w:headerReference w:type="first" r:id="rId17"/>
      <w:footerReference w:type="first" r:id="rId18"/>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A04" w:rsidRDefault="007E2A04">
      <w:pPr>
        <w:spacing w:after="0" w:line="240" w:lineRule="auto"/>
      </w:pPr>
      <w:r>
        <w:separator/>
      </w:r>
    </w:p>
  </w:endnote>
  <w:endnote w:type="continuationSeparator" w:id="0">
    <w:p w:rsidR="007E2A04" w:rsidRDefault="007E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262E5D" w:rsidRDefault="00262E5D">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262E5D">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262E5D">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262E5D">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262E5D">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A04" w:rsidRDefault="007E2A04">
      <w:pPr>
        <w:spacing w:after="0" w:line="240" w:lineRule="auto"/>
      </w:pPr>
      <w:r>
        <w:separator/>
      </w:r>
    </w:p>
  </w:footnote>
  <w:footnote w:type="continuationSeparator" w:id="0">
    <w:p w:rsidR="007E2A04" w:rsidRDefault="007E2A04">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262E5D" w:rsidRDefault="00262E5D">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262E5D" w:rsidRDefault="00262E5D">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262E5D" w:rsidRDefault="00262E5D">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62E5D"/>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1851"/>
    <w:rsid w:val="004A7B5B"/>
    <w:rsid w:val="004B7816"/>
    <w:rsid w:val="004C1F26"/>
    <w:rsid w:val="004C5F4A"/>
    <w:rsid w:val="004D0F2E"/>
    <w:rsid w:val="004D10CD"/>
    <w:rsid w:val="004D7859"/>
    <w:rsid w:val="004E0B85"/>
    <w:rsid w:val="004E4166"/>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25729"/>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0DB8"/>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E2A04"/>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20A4"/>
    <w:rsid w:val="00FB3393"/>
    <w:rsid w:val="00FB4768"/>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12">
    <w:name w:val="Сетка таблицы1"/>
    <w:basedOn w:val="a2"/>
    <w:next w:val="ad"/>
    <w:uiPriority w:val="59"/>
    <w:rsid w:val="004E4166"/>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12">
    <w:name w:val="Сетка таблицы1"/>
    <w:basedOn w:val="a2"/>
    <w:next w:val="ad"/>
    <w:uiPriority w:val="59"/>
    <w:rsid w:val="004E4166"/>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4CE2D-2246-41F0-8FA1-DC23FB67E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1425</Words>
  <Characters>8126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2021-10-13T08:36:00Z</dcterms:created>
  <dcterms:modified xsi:type="dcterms:W3CDTF">2021-10-13T08:36:00Z</dcterms:modified>
</cp:coreProperties>
</file>