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5B7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2694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60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2694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2694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032" w:type="pct"/>
        <w:tblLayout w:type="fixed"/>
        <w:tblLook w:val="04A0" w:firstRow="1" w:lastRow="0" w:firstColumn="1" w:lastColumn="0" w:noHBand="0" w:noVBand="1"/>
      </w:tblPr>
      <w:tblGrid>
        <w:gridCol w:w="566"/>
        <w:gridCol w:w="1478"/>
        <w:gridCol w:w="1185"/>
        <w:gridCol w:w="743"/>
        <w:gridCol w:w="1927"/>
        <w:gridCol w:w="1978"/>
        <w:gridCol w:w="993"/>
        <w:gridCol w:w="1627"/>
        <w:gridCol w:w="1772"/>
        <w:gridCol w:w="568"/>
        <w:gridCol w:w="851"/>
        <w:gridCol w:w="847"/>
        <w:gridCol w:w="709"/>
        <w:gridCol w:w="806"/>
      </w:tblGrid>
      <w:tr w:rsidR="00F26947" w:rsidRPr="00E95C1D" w:rsidTr="00CE42D7">
        <w:trPr>
          <w:trHeight w:val="402"/>
        </w:trPr>
        <w:tc>
          <w:tcPr>
            <w:tcW w:w="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w:t>
            </w:r>
          </w:p>
        </w:tc>
        <w:tc>
          <w:tcPr>
            <w:tcW w:w="46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 xml:space="preserve">Наименование товара, </w:t>
            </w:r>
          </w:p>
        </w:tc>
        <w:tc>
          <w:tcPr>
            <w:tcW w:w="36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КТРУ/ОКПД2</w:t>
            </w:r>
          </w:p>
        </w:tc>
        <w:tc>
          <w:tcPr>
            <w:tcW w:w="23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Единица измерения</w:t>
            </w:r>
          </w:p>
        </w:tc>
        <w:tc>
          <w:tcPr>
            <w:tcW w:w="6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Функциональные, технические, качественные, эксплуатационные характеристики товара (единицы измерения)</w:t>
            </w:r>
          </w:p>
        </w:tc>
        <w:tc>
          <w:tcPr>
            <w:tcW w:w="61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30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Единица измерения значения</w:t>
            </w:r>
          </w:p>
        </w:tc>
        <w:tc>
          <w:tcPr>
            <w:tcW w:w="50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552" w:type="pct"/>
            <w:vMerge w:val="restart"/>
            <w:tcBorders>
              <w:top w:val="single" w:sz="8" w:space="0" w:color="000000"/>
              <w:left w:val="single" w:sz="8" w:space="0" w:color="000000"/>
              <w:bottom w:val="single" w:sz="8" w:space="0" w:color="000000"/>
              <w:right w:val="nil"/>
            </w:tcBorders>
            <w:shd w:val="clear" w:color="auto" w:fill="auto"/>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Инструкция заказчика по указанию значений характеристик товара участником закупки</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Кол-во</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Страна происхождения Товара</w:t>
            </w:r>
          </w:p>
        </w:tc>
        <w:tc>
          <w:tcPr>
            <w:tcW w:w="2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Ставка НДС, %</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Цена за ед. без НДС</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r w:rsidRPr="00E95C1D">
              <w:rPr>
                <w:rFonts w:ascii="Times New Roman" w:eastAsia="Times New Roman" w:hAnsi="Times New Roman" w:cs="Times New Roman"/>
                <w:b/>
                <w:bCs/>
                <w:color w:val="000000"/>
                <w:sz w:val="14"/>
                <w:szCs w:val="14"/>
                <w:lang w:eastAsia="ru-RU"/>
              </w:rPr>
              <w:t>Сумма без НДС</w:t>
            </w:r>
          </w:p>
        </w:tc>
      </w:tr>
      <w:tr w:rsidR="00F26947" w:rsidRPr="00E95C1D" w:rsidTr="00CE42D7">
        <w:trPr>
          <w:trHeight w:val="509"/>
        </w:trPr>
        <w:tc>
          <w:tcPr>
            <w:tcW w:w="176" w:type="pct"/>
            <w:vMerge/>
            <w:tcBorders>
              <w:top w:val="single" w:sz="4" w:space="0" w:color="000000"/>
              <w:left w:val="single" w:sz="4" w:space="0" w:color="000000"/>
              <w:bottom w:val="single" w:sz="4" w:space="0" w:color="000000"/>
              <w:right w:val="single" w:sz="4"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460"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369"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31"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600"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616"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309"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552" w:type="pct"/>
            <w:vMerge/>
            <w:tcBorders>
              <w:top w:val="single" w:sz="8" w:space="0" w:color="000000"/>
              <w:left w:val="single" w:sz="8" w:space="0" w:color="000000"/>
              <w:bottom w:val="single" w:sz="8" w:space="0" w:color="000000"/>
              <w:right w:val="nil"/>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r>
      <w:tr w:rsidR="00F26947" w:rsidRPr="00E95C1D" w:rsidTr="00CE42D7">
        <w:trPr>
          <w:trHeight w:val="509"/>
        </w:trPr>
        <w:tc>
          <w:tcPr>
            <w:tcW w:w="176" w:type="pct"/>
            <w:vMerge/>
            <w:tcBorders>
              <w:top w:val="single" w:sz="4" w:space="0" w:color="000000"/>
              <w:left w:val="single" w:sz="4" w:space="0" w:color="000000"/>
              <w:bottom w:val="single" w:sz="4" w:space="0" w:color="auto"/>
              <w:right w:val="single" w:sz="4"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460"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369"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31"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600"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616"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309"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507" w:type="pct"/>
            <w:vMerge/>
            <w:tcBorders>
              <w:top w:val="single" w:sz="8" w:space="0" w:color="000000"/>
              <w:left w:val="single" w:sz="8" w:space="0" w:color="000000"/>
              <w:bottom w:val="single" w:sz="4" w:space="0" w:color="auto"/>
              <w:right w:val="single" w:sz="8" w:space="0" w:color="000000"/>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552" w:type="pct"/>
            <w:vMerge/>
            <w:tcBorders>
              <w:top w:val="single" w:sz="8" w:space="0" w:color="000000"/>
              <w:left w:val="single" w:sz="8" w:space="0" w:color="000000"/>
              <w:bottom w:val="single" w:sz="4" w:space="0" w:color="auto"/>
              <w:right w:val="nil"/>
            </w:tcBorders>
            <w:vAlign w:val="center"/>
            <w:hideMark/>
          </w:tcPr>
          <w:p w:rsidR="00F26947" w:rsidRPr="00E95C1D" w:rsidRDefault="00F26947" w:rsidP="00CE42D7">
            <w:pPr>
              <w:spacing w:after="0" w:line="240" w:lineRule="auto"/>
              <w:jc w:val="center"/>
              <w:rPr>
                <w:rFonts w:ascii="Times New Roman" w:eastAsia="Times New Roman" w:hAnsi="Times New Roman" w:cs="Times New Roman"/>
                <w:b/>
                <w:bCs/>
                <w:color w:val="000000"/>
                <w:sz w:val="14"/>
                <w:szCs w:val="14"/>
                <w:lang w:eastAsia="ru-RU"/>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F26947" w:rsidRPr="00E95C1D" w:rsidRDefault="00F26947" w:rsidP="00CE42D7">
            <w:pPr>
              <w:spacing w:after="0" w:line="240" w:lineRule="auto"/>
              <w:rPr>
                <w:rFonts w:ascii="Times New Roman" w:eastAsia="Times New Roman" w:hAnsi="Times New Roman" w:cs="Times New Roman"/>
                <w:b/>
                <w:bCs/>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1</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Окрашивание по Романовскому ИВД, набор</w:t>
            </w:r>
          </w:p>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21.20.23.110-00005714*</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выполняемых тестов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Pr>
                <w:rFonts w:ascii="Times New Roman" w:eastAsia="Times New Roman" w:hAnsi="Times New Roman" w:cs="Times New Roman"/>
                <w:color w:val="000000"/>
                <w:sz w:val="14"/>
                <w:szCs w:val="14"/>
                <w:lang w:eastAsia="ru-RU"/>
              </w:rPr>
              <w:t>6</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Назначение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ручной постановки</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Окраска 6000-8000 препаратов в зависимости от разведения и метода окрашивания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50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исследований, проводимых с использованием данного реагента, определяет общий объем требуемый к поставке</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 флакон</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Кубический сантиметр;^миллилитр</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Состав набора </w:t>
            </w:r>
          </w:p>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(Комплектация 3):</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 Краситель азур-эозин по Романовскому (Профессионал) - 1 флакон не менее 1 л. </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Диахим-Буфер Г - 1 флакон не менее 20 мл.</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Готовится разведением 20 мл в 20 литрах воды</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Краситель по Романовскому используется для универсальной окраски препаратов крови, костного мозга, лимфоузлов, хромосом, выпотных жидкостей, малярии, цитологических, цитохимических и др. препаратов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Буфер для приготовления забуференной воды, необходимой для приготовления рабочих растворов красителей для гематологии (рН 6,8-7,2). Представляет собой смесь жидких реагентов: двузамещенного фосфата натрия и однозамещенного фосфата калия. Бесцветная, прозрачная жидкость, флакон из матового полиэтилена, с цветной крышкой.</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Май-Грюнвальда красящий раствор ИВД</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21.20.23.110-00006612*</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шт</w:t>
            </w: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Объём реагентов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1000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Кубический сантиметр;^миллилитр</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15</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Назначение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ручной постановки</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Возможна фиксация 3000 препаратов и окраска 4000 препаратов: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Готовится разведением 20 мл в 20 литрах воды</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Фиксатор-краситель форменных элементов представляет собой раствор сухого красителя эозин метиленовый синий по Май-Грюнвальду в метаноле: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Фиксация в течение 2-3 минут (кровь), 2-3 мин костный мозг, 1-2 мин другие биопрепараты:</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Возможно докрашивание рабочим раствором фиксатора, приготовленным из расчета 1:3 (фиксатор-забуференная вода) в течение 10-15 мин:</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Состав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Фиксатор-краситель эозин метиленовый синий по Май-Грюнвальду - 1 флакон (не менее 1 л); Буфер Г - 1 флакон (не менее 20мл.)</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Буфер для приготовления забуференной воды, представляет собой смесь жидких реагентов: двузамещенного фосфата натрия и однозамещенного фосфата калия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Бесцветная, прозрачная жидкость, флакон из матового полиэтилена, с цветной крышкой.</w:t>
            </w:r>
          </w:p>
        </w:tc>
        <w:tc>
          <w:tcPr>
            <w:tcW w:w="616"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6" w:space="0" w:color="000000"/>
              <w:bottom w:val="single" w:sz="6" w:space="0" w:color="000000"/>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vMerge/>
            <w:tcBorders>
              <w:left w:val="single" w:sz="4" w:space="0" w:color="auto"/>
              <w:bottom w:val="single" w:sz="6" w:space="0" w:color="000000"/>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 флакон</w:t>
            </w:r>
          </w:p>
        </w:tc>
        <w:tc>
          <w:tcPr>
            <w:tcW w:w="616"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Кубический сантиметр;^миллилитр</w:t>
            </w:r>
          </w:p>
        </w:tc>
        <w:tc>
          <w:tcPr>
            <w:tcW w:w="507"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исследований, проводимых с использованием данного антитела, определяет общий объем требуемого к поставке реактива</w:t>
            </w:r>
          </w:p>
        </w:tc>
        <w:tc>
          <w:tcPr>
            <w:tcW w:w="552"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3</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Лейшмана красящий раствор ИВД.</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21.20.23.110-00006647*</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шт</w:t>
            </w: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Объем реагента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Кубический сантиметр;^миллилитр</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2</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приготовления рабочего раствора фиксатора-красителя необходимо использование забуференной воды (рН 6,8 - 7,2).</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0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sz w:val="14"/>
                <w:szCs w:val="14"/>
              </w:rPr>
              <w:t>В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Предназначен для применения в качестве фиксатора мазков и красителя форменных элементов крови, для дифференциации клеточных структур в клиническом образце при микроскопическом исследовании; в качестве фиксатора мазков для дальнейшего окрашивания по методу Романовского.</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0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Готовится разведением 20 мл в 20 литрах воды (1:1000)</w:t>
            </w:r>
          </w:p>
        </w:tc>
        <w:tc>
          <w:tcPr>
            <w:tcW w:w="616"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07" w:type="pct"/>
            <w:tcBorders>
              <w:top w:val="single" w:sz="4" w:space="0" w:color="auto"/>
              <w:left w:val="single" w:sz="6" w:space="0" w:color="000000"/>
              <w:bottom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sz w:val="14"/>
                <w:szCs w:val="14"/>
              </w:rPr>
              <w:t>Количество исследований, проводимых с использованием данного антитела, определяет общий объем требуемого к поставке реактива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Состав набора:</w:t>
            </w:r>
          </w:p>
        </w:tc>
        <w:tc>
          <w:tcPr>
            <w:tcW w:w="616"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Фиксатор-краситель эозин метиленовый синий типа Лейшмана - 1 флакон (не менее 1 л), Буфер Г - 1 флакон (не менее 20 мл)</w:t>
            </w:r>
          </w:p>
        </w:tc>
        <w:tc>
          <w:tcPr>
            <w:tcW w:w="309" w:type="pct"/>
            <w:tcBorders>
              <w:top w:val="nil"/>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07" w:type="pct"/>
            <w:vMerge w:val="restart"/>
            <w:tcBorders>
              <w:top w:val="nil"/>
              <w:left w:val="single" w:sz="6" w:space="0" w:color="000000"/>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sz w:val="14"/>
                <w:szCs w:val="14"/>
              </w:rPr>
              <w:t>B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 необходим именно этот состав</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Буфер для приготовления забуференной воды, представляет собой смесь жидких реагентов: двузамещенного фосфата натрия и однозамещенного фосфата калия. Бесцветная, прозрачная жидкость, флакон из матового полиэтилена, с цветной крышкой</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w:t>
            </w:r>
          </w:p>
        </w:tc>
        <w:tc>
          <w:tcPr>
            <w:tcW w:w="507" w:type="pct"/>
            <w:vMerge/>
            <w:tcBorders>
              <w:left w:val="single" w:sz="6" w:space="0" w:color="000000"/>
              <w:bottom w:val="single" w:sz="4" w:space="0" w:color="auto"/>
              <w:right w:val="single" w:sz="6" w:space="0" w:color="000000"/>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p>
        </w:tc>
        <w:tc>
          <w:tcPr>
            <w:tcW w:w="552" w:type="pct"/>
            <w:tcBorders>
              <w:top w:val="single" w:sz="4" w:space="0" w:color="auto"/>
              <w:left w:val="single" w:sz="6" w:space="0" w:color="000000"/>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5F20E3">
        <w:trPr>
          <w:trHeight w:val="2093"/>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4</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Окрашивание по Граму ИВД, набор</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21.20.23.110-00005281**</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Состав набора  </w:t>
            </w:r>
          </w:p>
          <w:p w:rsidR="00F26947" w:rsidRPr="00E95C1D" w:rsidRDefault="00F26947" w:rsidP="00E62B38">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(Комплектация №1)</w:t>
            </w:r>
          </w:p>
        </w:tc>
        <w:tc>
          <w:tcPr>
            <w:tcW w:w="616"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 Карболовый раствор генцианвиолета – не менее 1 флакона (не менее 100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2. Раствор Люголя – не менее 1 флакона (не менее 100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3. Фуксин Циля (концентрат) – не менее 1 флакона (не менее 10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4.Инструкция по применению – не менее 1 шт.</w:t>
            </w:r>
          </w:p>
          <w:p w:rsidR="00F26947" w:rsidRPr="00E95C1D" w:rsidRDefault="00F26947" w:rsidP="00F6296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5. Паспорт – не менее 1 шт.</w:t>
            </w:r>
          </w:p>
        </w:tc>
        <w:tc>
          <w:tcPr>
            <w:tcW w:w="309" w:type="pct"/>
            <w:tcBorders>
              <w:top w:val="single" w:sz="4" w:space="0" w:color="auto"/>
              <w:left w:val="single" w:sz="4" w:space="0" w:color="auto"/>
              <w:right w:val="single" w:sz="4" w:space="0" w:color="auto"/>
            </w:tcBorders>
            <w:vAlign w:val="center"/>
          </w:tcPr>
          <w:p w:rsidR="00F26947" w:rsidRPr="00E95C1D" w:rsidRDefault="00F26947" w:rsidP="00662942">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right w:val="single" w:sz="4" w:space="0" w:color="auto"/>
            </w:tcBorders>
            <w:vAlign w:val="center"/>
          </w:tcPr>
          <w:p w:rsidR="00F26947" w:rsidRPr="00E95C1D" w:rsidRDefault="00F26947" w:rsidP="00F24352">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right w:val="single" w:sz="4" w:space="0" w:color="auto"/>
            </w:tcBorders>
            <w:vAlign w:val="center"/>
          </w:tcPr>
          <w:p w:rsidR="00F26947" w:rsidRPr="00E95C1D" w:rsidRDefault="00F26947" w:rsidP="005F20E3">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Крышка флип-топ</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 менее 2</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определений</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 менее 200 окрашиваний при расходе не менее 0,5 мл рабочего реагента на один анализ.</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Подходит для окрашивания Micobacterium tuberculosis</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1056"/>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5</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Краситель для кислотоустойчивых бактерий ИВД, набор</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21.20.23.110-00000609*</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выполняемых тестов</w:t>
            </w:r>
          </w:p>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16"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 200 </w:t>
            </w:r>
          </w:p>
        </w:tc>
        <w:tc>
          <w:tcPr>
            <w:tcW w:w="309"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Назначение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Набор реагентов для окраски кислотоустойчивых организмов с помощью метиленового синего, солянокислого спирта и фуксина Циля.</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Состав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Реагент 1 – не менее 1 флакон (не менее 100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Реагент 2 (концентрат) </w:t>
            </w:r>
            <w:r w:rsidRPr="00E95C1D">
              <w:rPr>
                <w:rFonts w:ascii="Times New Roman" w:eastAsia="Times New Roman" w:hAnsi="Times New Roman" w:cs="Times New Roman"/>
                <w:color w:val="000000"/>
                <w:sz w:val="14"/>
                <w:szCs w:val="14"/>
                <w:lang w:eastAsia="ru-RU"/>
              </w:rPr>
              <w:t>- не менее 1 флакон (не менее 30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Реагент 3 – не менее 1 флакон (не менее 100 мл)</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Крышка флип-топ </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 менее 2</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6</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Альциановый синий раствор ИВД</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21.20.23.110-00000718</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упак</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Показатель Ph</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2,5</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Объем реагента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500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Кубический сантиметр;^миллилитр</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7</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Гематоксилин раствор ИВД</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21.20.23.110-00006230</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упак</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jc w:val="both"/>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Назначение:</w:t>
            </w:r>
            <w:r w:rsidRPr="00E95C1D">
              <w:rPr>
                <w:rFonts w:ascii="Times New Roman" w:eastAsia="Times New Roman" w:hAnsi="Times New Roman" w:cs="Times New Roman"/>
                <w:color w:val="000000"/>
                <w:sz w:val="14"/>
                <w:szCs w:val="14"/>
                <w:lang w:eastAsia="ru-RU"/>
              </w:rPr>
              <w:tab/>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ручной постановки и анализаторов открытого типа</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41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Объем реагента: </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см[3*];^мл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6C2F79">
        <w:trPr>
          <w:trHeight w:val="895"/>
        </w:trPr>
        <w:tc>
          <w:tcPr>
            <w:tcW w:w="176"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8</w:t>
            </w:r>
          </w:p>
        </w:tc>
        <w:tc>
          <w:tcPr>
            <w:tcW w:w="460"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Трихром по Массону ИВД, набор</w:t>
            </w:r>
          </w:p>
        </w:tc>
        <w:tc>
          <w:tcPr>
            <w:tcW w:w="369"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21.20.23.110-00009384</w:t>
            </w:r>
            <w:r>
              <w:rPr>
                <w:rFonts w:ascii="Times New Roman" w:eastAsia="Times New Roman" w:hAnsi="Times New Roman" w:cs="Times New Roman"/>
                <w:color w:val="000000"/>
                <w:sz w:val="14"/>
                <w:szCs w:val="14"/>
                <w:lang w:eastAsia="ru-RU"/>
              </w:rPr>
              <w:t>*</w:t>
            </w:r>
          </w:p>
        </w:tc>
        <w:tc>
          <w:tcPr>
            <w:tcW w:w="231"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5C00DB">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Назначение</w:t>
            </w:r>
          </w:p>
        </w:tc>
        <w:tc>
          <w:tcPr>
            <w:tcW w:w="616" w:type="pct"/>
            <w:tcBorders>
              <w:top w:val="single" w:sz="4" w:space="0" w:color="auto"/>
              <w:left w:val="single" w:sz="4" w:space="0" w:color="auto"/>
              <w:right w:val="single" w:sz="4" w:space="0" w:color="auto"/>
            </w:tcBorders>
            <w:vAlign w:val="center"/>
          </w:tcPr>
          <w:p w:rsidR="00F26947" w:rsidRPr="00E95C1D" w:rsidRDefault="00F26947" w:rsidP="00BB17E9">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Для ручной постановки анализа</w:t>
            </w:r>
          </w:p>
        </w:tc>
        <w:tc>
          <w:tcPr>
            <w:tcW w:w="309" w:type="pct"/>
            <w:tcBorders>
              <w:top w:val="single" w:sz="4" w:space="0" w:color="auto"/>
              <w:left w:val="single" w:sz="4" w:space="0" w:color="auto"/>
              <w:right w:val="single" w:sz="4" w:space="0" w:color="auto"/>
            </w:tcBorders>
            <w:vAlign w:val="center"/>
          </w:tcPr>
          <w:p w:rsidR="00F26947" w:rsidRPr="00E95C1D" w:rsidRDefault="00F26947" w:rsidP="005F365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right w:val="single" w:sz="4" w:space="0" w:color="auto"/>
            </w:tcBorders>
            <w:vAlign w:val="center"/>
          </w:tcPr>
          <w:p w:rsidR="00F26947" w:rsidRPr="00E95C1D" w:rsidRDefault="00F26947" w:rsidP="00C1767A">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right w:val="single" w:sz="4" w:space="0" w:color="auto"/>
            </w:tcBorders>
            <w:vAlign w:val="center"/>
          </w:tcPr>
          <w:p w:rsidR="00F26947" w:rsidRPr="00E95C1D" w:rsidRDefault="00F26947" w:rsidP="006C2F79">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265"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Количество выполняемых тестов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w:t>
            </w:r>
            <w:r>
              <w:rPr>
                <w:rFonts w:ascii="Times New Roman" w:eastAsia="Times New Roman" w:hAnsi="Times New Roman" w:cs="Times New Roman"/>
                <w:color w:val="000000"/>
                <w:sz w:val="14"/>
                <w:szCs w:val="14"/>
                <w:lang w:eastAsia="ru-RU"/>
              </w:rPr>
              <w:t xml:space="preserve">100 </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Оптимальная фасовка, обеспечивающая необходимую потребность</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Состав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1. </w:t>
            </w:r>
            <w:r w:rsidRPr="00197242">
              <w:rPr>
                <w:rFonts w:ascii="Times New Roman" w:eastAsia="Times New Roman" w:hAnsi="Times New Roman" w:cs="Times New Roman"/>
                <w:color w:val="000000"/>
                <w:sz w:val="14"/>
                <w:szCs w:val="14"/>
                <w:lang w:eastAsia="ru-RU"/>
              </w:rPr>
              <w:t>Же</w:t>
            </w:r>
            <w:r>
              <w:rPr>
                <w:rFonts w:ascii="Times New Roman" w:eastAsia="Times New Roman" w:hAnsi="Times New Roman" w:cs="Times New Roman"/>
                <w:color w:val="000000"/>
                <w:sz w:val="14"/>
                <w:szCs w:val="14"/>
                <w:lang w:eastAsia="ru-RU"/>
              </w:rPr>
              <w:t xml:space="preserve">лезный гематоксилин Вейгерта А - не менее 30 мл; 2. </w:t>
            </w:r>
            <w:r w:rsidRPr="00197242">
              <w:rPr>
                <w:rFonts w:ascii="Times New Roman" w:eastAsia="Times New Roman" w:hAnsi="Times New Roman" w:cs="Times New Roman"/>
                <w:color w:val="000000"/>
                <w:sz w:val="14"/>
                <w:szCs w:val="14"/>
                <w:lang w:eastAsia="ru-RU"/>
              </w:rPr>
              <w:t>Же</w:t>
            </w:r>
            <w:r>
              <w:rPr>
                <w:rFonts w:ascii="Times New Roman" w:eastAsia="Times New Roman" w:hAnsi="Times New Roman" w:cs="Times New Roman"/>
                <w:color w:val="000000"/>
                <w:sz w:val="14"/>
                <w:szCs w:val="14"/>
                <w:lang w:eastAsia="ru-RU"/>
              </w:rPr>
              <w:t xml:space="preserve">лезный гематоксилин Вейгерта B - не менее 30 мл; 3. </w:t>
            </w:r>
            <w:r w:rsidRPr="00197242">
              <w:rPr>
                <w:rFonts w:ascii="Times New Roman" w:eastAsia="Times New Roman" w:hAnsi="Times New Roman" w:cs="Times New Roman"/>
                <w:color w:val="000000"/>
                <w:sz w:val="14"/>
                <w:szCs w:val="14"/>
                <w:lang w:eastAsia="ru-RU"/>
              </w:rPr>
              <w:t>Раствор кислоты пи</w:t>
            </w:r>
            <w:r>
              <w:rPr>
                <w:rFonts w:ascii="Times New Roman" w:eastAsia="Times New Roman" w:hAnsi="Times New Roman" w:cs="Times New Roman"/>
                <w:color w:val="000000"/>
                <w:sz w:val="14"/>
                <w:szCs w:val="14"/>
                <w:lang w:eastAsia="ru-RU"/>
              </w:rPr>
              <w:t xml:space="preserve">криновой спиртовой - </w:t>
            </w:r>
            <w:r w:rsidRPr="00197242">
              <w:rPr>
                <w:rFonts w:ascii="Times New Roman" w:eastAsia="Times New Roman" w:hAnsi="Times New Roman" w:cs="Times New Roman"/>
                <w:color w:val="000000"/>
                <w:sz w:val="14"/>
                <w:szCs w:val="14"/>
                <w:lang w:eastAsia="ru-RU"/>
              </w:rPr>
              <w:t xml:space="preserve">не менее 30 мл; </w:t>
            </w:r>
          </w:p>
          <w:p w:rsidR="00F26947"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4. </w:t>
            </w:r>
            <w:r w:rsidRPr="00197242">
              <w:rPr>
                <w:rFonts w:ascii="Times New Roman" w:eastAsia="Times New Roman" w:hAnsi="Times New Roman" w:cs="Times New Roman"/>
                <w:color w:val="000000"/>
                <w:sz w:val="14"/>
                <w:szCs w:val="14"/>
                <w:lang w:eastAsia="ru-RU"/>
              </w:rPr>
              <w:t>Рас</w:t>
            </w:r>
            <w:r>
              <w:rPr>
                <w:rFonts w:ascii="Times New Roman" w:eastAsia="Times New Roman" w:hAnsi="Times New Roman" w:cs="Times New Roman"/>
                <w:color w:val="000000"/>
                <w:sz w:val="14"/>
                <w:szCs w:val="14"/>
                <w:lang w:eastAsia="ru-RU"/>
              </w:rPr>
              <w:t xml:space="preserve">твор кислого пунцового фуксина - </w:t>
            </w:r>
            <w:r w:rsidRPr="00197242">
              <w:rPr>
                <w:rFonts w:ascii="Times New Roman" w:eastAsia="Times New Roman" w:hAnsi="Times New Roman" w:cs="Times New Roman"/>
                <w:color w:val="000000"/>
                <w:sz w:val="14"/>
                <w:szCs w:val="14"/>
                <w:lang w:eastAsia="ru-RU"/>
              </w:rPr>
              <w:t xml:space="preserve">не менее 30 мл; </w:t>
            </w:r>
          </w:p>
          <w:p w:rsidR="00F26947"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r w:rsidRPr="00197242">
              <w:rPr>
                <w:rFonts w:ascii="Times New Roman" w:eastAsia="Times New Roman" w:hAnsi="Times New Roman" w:cs="Times New Roman"/>
                <w:color w:val="000000"/>
                <w:sz w:val="14"/>
                <w:szCs w:val="14"/>
                <w:lang w:eastAsia="ru-RU"/>
              </w:rPr>
              <w:t xml:space="preserve"> Раство</w:t>
            </w:r>
            <w:r>
              <w:rPr>
                <w:rFonts w:ascii="Times New Roman" w:eastAsia="Times New Roman" w:hAnsi="Times New Roman" w:cs="Times New Roman"/>
                <w:color w:val="000000"/>
                <w:sz w:val="14"/>
                <w:szCs w:val="14"/>
                <w:lang w:eastAsia="ru-RU"/>
              </w:rPr>
              <w:t xml:space="preserve">р кислоты фосфорномолибденовой - </w:t>
            </w:r>
            <w:r w:rsidRPr="00197242">
              <w:rPr>
                <w:rFonts w:ascii="Times New Roman" w:eastAsia="Times New Roman" w:hAnsi="Times New Roman" w:cs="Times New Roman"/>
                <w:color w:val="000000"/>
                <w:sz w:val="14"/>
                <w:szCs w:val="14"/>
                <w:lang w:eastAsia="ru-RU"/>
              </w:rPr>
              <w:t xml:space="preserve">не </w:t>
            </w:r>
            <w:r>
              <w:rPr>
                <w:rFonts w:ascii="Times New Roman" w:eastAsia="Times New Roman" w:hAnsi="Times New Roman" w:cs="Times New Roman"/>
                <w:color w:val="000000"/>
                <w:sz w:val="14"/>
                <w:szCs w:val="14"/>
                <w:lang w:eastAsia="ru-RU"/>
              </w:rPr>
              <w:t>менее 30 мл;</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 xml:space="preserve">6. </w:t>
            </w:r>
            <w:r w:rsidRPr="00197242">
              <w:rPr>
                <w:rFonts w:ascii="Times New Roman" w:eastAsia="Times New Roman" w:hAnsi="Times New Roman" w:cs="Times New Roman"/>
                <w:color w:val="000000"/>
                <w:sz w:val="14"/>
                <w:szCs w:val="14"/>
                <w:lang w:eastAsia="ru-RU"/>
              </w:rPr>
              <w:t>Раствор</w:t>
            </w:r>
            <w:r>
              <w:rPr>
                <w:rFonts w:ascii="Times New Roman" w:eastAsia="Times New Roman" w:hAnsi="Times New Roman" w:cs="Times New Roman"/>
                <w:color w:val="000000"/>
                <w:sz w:val="14"/>
                <w:szCs w:val="14"/>
                <w:lang w:eastAsia="ru-RU"/>
              </w:rPr>
              <w:t xml:space="preserve"> анилинового синего по Массону - </w:t>
            </w:r>
            <w:r w:rsidRPr="00197242">
              <w:rPr>
                <w:rFonts w:ascii="Times New Roman" w:eastAsia="Times New Roman" w:hAnsi="Times New Roman" w:cs="Times New Roman"/>
                <w:color w:val="000000"/>
                <w:sz w:val="14"/>
                <w:szCs w:val="14"/>
                <w:lang w:eastAsia="ru-RU"/>
              </w:rPr>
              <w:t>не менее 30 мл</w:t>
            </w:r>
            <w:r>
              <w:rPr>
                <w:rFonts w:ascii="Times New Roman" w:eastAsia="Times New Roman" w:hAnsi="Times New Roman" w:cs="Times New Roman"/>
                <w:color w:val="000000"/>
                <w:sz w:val="14"/>
                <w:szCs w:val="14"/>
                <w:lang w:eastAsia="ru-RU"/>
              </w:rPr>
              <w:t>.</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 xml:space="preserve">Методика предполагает использование </w:t>
            </w:r>
            <w:r>
              <w:rPr>
                <w:rFonts w:ascii="Times New Roman" w:eastAsia="Times New Roman" w:hAnsi="Times New Roman" w:cs="Times New Roman"/>
                <w:color w:val="000000"/>
                <w:sz w:val="14"/>
                <w:szCs w:val="14"/>
                <w:lang w:eastAsia="ru-RU"/>
              </w:rPr>
              <w:t>данных реагентов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197242">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1056"/>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9</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Окрашивание по Романовскому ИВД, набор</w:t>
            </w:r>
          </w:p>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21.20.23.110-00005719</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выполняемых исследований</w:t>
            </w:r>
          </w:p>
        </w:tc>
        <w:tc>
          <w:tcPr>
            <w:tcW w:w="616"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500.0</w:t>
            </w:r>
          </w:p>
        </w:tc>
        <w:tc>
          <w:tcPr>
            <w:tcW w:w="309"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Назначение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ручной постановки</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10</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 реагентов для определения специфического антигена (галактоманнана) плесневого гриба рода Aspergillius группы fumigatus в сыворотке крови и бронхоальвеолярном лаваже (БАЛ)</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Набор реагентов предназначен для определения специфического антигена (галактоманнана) плесневого гриба рода Aspergillus группы fumigatus в сыворотке крови и бронхоальвеолярном лаваже (БАЛ) человека</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Тип планшета:</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96-луночный полистироловый стрипированный (стрип 8-луночный)</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Температура проведения иммунной реакции без шейкирования: +37 С</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Хранение приготовленного отмывочного раствора при температуре 18-25С:</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 15 </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сутки</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Время инкубации при комнатной температуре с ТМБ:</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минута</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Хранение оставшихся неиспользованных заклеенных стрипов в течение всего срока годности:</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Соответствует</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Хранение приготовленного отмывочного раствора при температуре 2-8С:</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45</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сутки</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 готовых к использованию положительных и отрицательных контрольных сывороток, контроль Сut-off; ТМБ, конъюгата, биотинилированных моноклональных антител к галактоманнану Aspergillus стоп-реагента, раствора для разведения образцов</w:t>
            </w:r>
          </w:p>
        </w:tc>
        <w:tc>
          <w:tcPr>
            <w:tcW w:w="616"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8049"/>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11</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Clostridium difficile антиген ИВД, набор, иммунохроматографический анализ</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21.20.23.110-00010296**</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Количество </w:t>
            </w:r>
          </w:p>
        </w:tc>
        <w:tc>
          <w:tcPr>
            <w:tcW w:w="616"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 соответствии с Постановлением Правительства РФ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Заказчик вправе указать в плане закупок, плане-графике закупок, формах обоснования закупок, извещении об осуществлении закупки, приглашении и документации о закупке иную и (или) дополнительную информацию, а также дополнительные и (или) иные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и требуются Заказчику в соответствии с особенностями проводимых исследований.</w:t>
            </w:r>
          </w:p>
        </w:tc>
        <w:tc>
          <w:tcPr>
            <w:tcW w:w="552"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Применение</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одноэтапного качественного определения антигенов Clostridium difficile  Toxin A и/или Toxin B в кале человека методом иммунохроматографического анализа</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Необходимость экспресс диагностики заболеваний желудочно-кишечного тракта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Диагностическая чувствительность, подтвержденная инструкцией производителя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98</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ложноотрицательных результатов.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Диагностическая специфичность, подтвержденная инструкцией производителя: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98</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ложноположительных результатов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Аналитическая чувствительность</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антигена Toxin A - ≤ 0,5;</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антигена Toxin B  - ≤  0,78</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нг/мл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Минимальное определяемое значение аналита: чем ниже аналитическая чувствительность, тем ранее возможно выявление заболеваний  ЖКТ</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Хук-эффект при концентрации</w:t>
            </w:r>
          </w:p>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Для антигена Toxin A – 500 </w:t>
            </w:r>
            <w:r w:rsidRPr="00E95C1D">
              <w:rPr>
                <w:rFonts w:ascii="Times New Roman" w:hAnsi="Times New Roman" w:cs="Times New Roman"/>
                <w:sz w:val="14"/>
                <w:szCs w:val="14"/>
              </w:rPr>
              <w:t xml:space="preserve"> </w:t>
            </w:r>
            <w:r w:rsidRPr="00E95C1D">
              <w:rPr>
                <w:rFonts w:ascii="Times New Roman" w:eastAsia="Times New Roman" w:hAnsi="Times New Roman" w:cs="Times New Roman"/>
                <w:color w:val="000000"/>
                <w:sz w:val="14"/>
                <w:szCs w:val="14"/>
                <w:lang w:eastAsia="ru-RU"/>
              </w:rPr>
              <w:t>нг/мл</w:t>
            </w:r>
          </w:p>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Для антигена Toxin B – 780 </w:t>
            </w:r>
            <w:r w:rsidRPr="00E95C1D">
              <w:rPr>
                <w:rFonts w:ascii="Times New Roman" w:hAnsi="Times New Roman" w:cs="Times New Roman"/>
                <w:sz w:val="14"/>
                <w:szCs w:val="14"/>
              </w:rPr>
              <w:t xml:space="preserve"> </w:t>
            </w:r>
            <w:r w:rsidRPr="00E95C1D">
              <w:rPr>
                <w:rFonts w:ascii="Times New Roman" w:eastAsia="Times New Roman" w:hAnsi="Times New Roman" w:cs="Times New Roman"/>
                <w:color w:val="000000"/>
                <w:sz w:val="14"/>
                <w:szCs w:val="14"/>
                <w:lang w:eastAsia="ru-RU"/>
              </w:rPr>
              <w:t>нг/мл</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Отсутствует</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ложноотрицательных результатов на фоне высокой концентрации аналита.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Время достижения устойчивых результатов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минута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сокращения времени проведения  исследования, возможности проведения большего количества анализов и оптимизации работы лаборатории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исследуемого образца твердого кала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мг</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Минимальный объем для возможности проведения большего количества исследований с одного забора образца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исследуемого образца жидкого кала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мкл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Минимальный объем для возможности проведения большего количества исследований с одного забора образца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Отсутствие перекрёстной реактивности с:</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val="en-US" w:eastAsia="ru-RU"/>
              </w:rPr>
            </w:pPr>
            <w:r w:rsidRPr="00E95C1D">
              <w:rPr>
                <w:rFonts w:ascii="Times New Roman" w:eastAsia="Times New Roman" w:hAnsi="Times New Roman" w:cs="Times New Roman"/>
                <w:color w:val="000000"/>
                <w:sz w:val="14"/>
                <w:szCs w:val="14"/>
                <w:lang w:val="en-US" w:eastAsia="ru-RU"/>
              </w:rPr>
              <w:t>Campylobacter s</w:t>
            </w:r>
            <w:r w:rsidRPr="00E95C1D">
              <w:rPr>
                <w:rFonts w:ascii="Times New Roman" w:eastAsia="Times New Roman" w:hAnsi="Times New Roman" w:cs="Times New Roman"/>
                <w:color w:val="000000"/>
                <w:sz w:val="14"/>
                <w:szCs w:val="14"/>
                <w:lang w:eastAsia="ru-RU"/>
              </w:rPr>
              <w:t>рр</w:t>
            </w:r>
            <w:r w:rsidRPr="00E95C1D">
              <w:rPr>
                <w:rFonts w:ascii="Times New Roman" w:eastAsia="Times New Roman" w:hAnsi="Times New Roman" w:cs="Times New Roman"/>
                <w:color w:val="000000"/>
                <w:sz w:val="14"/>
                <w:szCs w:val="14"/>
                <w:lang w:val="en-US" w:eastAsia="ru-RU"/>
              </w:rPr>
              <w:t>, E. Coli O157:H7, Listeria monocytogenes, Helicobacter pylori, Shigella spp, Salmonella spp, Yersinia spp, Yersinia enterocolitica</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ложноположительных результатов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Отсутствие интерференции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метронидазол, ампициллин, ибупрофен, парацетамол, омепразол, лоперамид, левофлоксацин, ципрофлоксацин, амоксициллин, гемоглобин, кальпротектин, слизь.</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w:t>
            </w:r>
            <w:r>
              <w:rPr>
                <w:rFonts w:ascii="Times New Roman" w:eastAsia="Times New Roman" w:hAnsi="Times New Roman" w:cs="Times New Roman"/>
                <w:color w:val="000000"/>
                <w:sz w:val="14"/>
                <w:szCs w:val="14"/>
                <w:lang w:eastAsia="ru-RU"/>
              </w:rPr>
              <w:t xml:space="preserve"> ложноотрицательных результатов</w:t>
            </w:r>
            <w:r w:rsidRPr="00E95C1D">
              <w:rPr>
                <w:rFonts w:ascii="Times New Roman" w:eastAsia="Times New Roman" w:hAnsi="Times New Roman" w:cs="Times New Roman"/>
                <w:color w:val="000000"/>
                <w:sz w:val="14"/>
                <w:szCs w:val="14"/>
                <w:lang w:eastAsia="ru-RU"/>
              </w:rPr>
              <w:t>. Наиболее распространенные вещества, которые могут вызывать интерференцию при медикаментозном лечении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Условия хранения: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2°С - 30°С</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Условия хранения после вскрытия: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4</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час</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возможности работы с набором в течение необходимого времени в том числе в случае случайного вскрытия или повреждения упаковки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Состав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Тест-кассета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Пробирка-капельница с буферным раствором 1 мл</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Пипетка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Обязательное наличие инструкции с подтверждением вышеуказанных характеристик (для проверки достоверности сведений) и регистрационного удостоверения выданного Федеральной Службой по надзору в сфере Здравоохранения с приложениями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1056"/>
        </w:trPr>
        <w:tc>
          <w:tcPr>
            <w:tcW w:w="176"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12</w:t>
            </w:r>
          </w:p>
        </w:tc>
        <w:tc>
          <w:tcPr>
            <w:tcW w:w="460" w:type="pct"/>
            <w:vMerge w:val="restart"/>
            <w:tcBorders>
              <w:top w:val="single" w:sz="4" w:space="0" w:color="auto"/>
              <w:left w:val="single" w:sz="4" w:space="0" w:color="auto"/>
              <w:right w:val="single" w:sz="4" w:space="0" w:color="auto"/>
            </w:tcBorders>
            <w:shd w:val="clear" w:color="auto" w:fill="FFFFFF" w:themeFill="background1"/>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Множественные вирусы желудочно-кишечного тракта антигены ИВД, иммунохроматографический анализ, экспресс-анализ</w:t>
            </w:r>
          </w:p>
        </w:tc>
        <w:tc>
          <w:tcPr>
            <w:tcW w:w="369"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21.20.23.110-00001021*</w:t>
            </w:r>
          </w:p>
        </w:tc>
        <w:tc>
          <w:tcPr>
            <w:tcW w:w="231" w:type="pct"/>
            <w:vMerge w:val="restart"/>
            <w:tcBorders>
              <w:top w:val="single" w:sz="4" w:space="0" w:color="auto"/>
              <w:left w:val="single" w:sz="4" w:space="0" w:color="auto"/>
              <w:right w:val="single" w:sz="4" w:space="0" w:color="auto"/>
            </w:tcBorders>
            <w:vAlign w:val="center"/>
          </w:tcPr>
          <w:p w:rsidR="00F26947" w:rsidRPr="008945D2"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8945D2">
              <w:rPr>
                <w:rFonts w:ascii="Times New Roman" w:eastAsia="Times New Roman" w:hAnsi="Times New Roman" w:cs="Times New Roman"/>
                <w:color w:val="000000"/>
                <w:sz w:val="14"/>
                <w:szCs w:val="14"/>
                <w:lang w:eastAsia="ru-RU"/>
              </w:rPr>
              <w:t>набор</w:t>
            </w:r>
          </w:p>
        </w:tc>
        <w:tc>
          <w:tcPr>
            <w:tcW w:w="600" w:type="pct"/>
            <w:tcBorders>
              <w:top w:val="single" w:sz="4" w:space="0" w:color="auto"/>
              <w:left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выполняемых тестов</w:t>
            </w:r>
          </w:p>
        </w:tc>
        <w:tc>
          <w:tcPr>
            <w:tcW w:w="616"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25</w:t>
            </w:r>
          </w:p>
        </w:tc>
        <w:tc>
          <w:tcPr>
            <w:tcW w:w="309"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Согласно КТРУ</w:t>
            </w:r>
          </w:p>
        </w:tc>
        <w:tc>
          <w:tcPr>
            <w:tcW w:w="552" w:type="pc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265"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val="restart"/>
            <w:tcBorders>
              <w:top w:val="single" w:sz="4" w:space="0" w:color="auto"/>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исследуемого образца твердого кала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мг</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Минимальное количество образца для возможности проведения большего количества исследований с одного забора кала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Количество исследуемого образца жидкого кала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мкл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Минимальное количество образца для возможности проведения большего количества исследований с одного забора кала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Аналитическая чувствительность для ротавируса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3,12</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нг/мл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Минимальное определяемое значение аналита: чем ниже аналитическая чувствительность, тем ранее возможно обнаружение инфекции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Аналитическая чувствительность для аденовируса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пг/мл</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Минимальное определяемое значение аналита: чем ниже аналитическая чувствительность, тем ранее возможно обнаружение инфекции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Чувствительность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96</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ложноотрицательных результатов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Специфичность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98</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ложноположительных результатов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Диагностическая чувствительность</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ложноотрицательных образцов.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Диагностическая специфичность</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ложноположительных образцов.</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Воспроизводимость</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100</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выявления несовпадений при проведении испытаний</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Время достижения устойчивых результатов</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5</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минута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сокращения времени проведения исследования, возможности провести большего количества анализов и оптимизации работы лаборатории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Отсутствие интерференции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Аскорбиновая кислота, мочевая</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кислота, глюкоза, оксалиновая кислота, аспирин, кофеин, мочевина, альбумин, билирубин, гемоглобин</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минимизации получения ложноотрицательных результатов. Наиболее распространенные вещества, которые могут вызывать интерференцию</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Отсутствие перекрёстной реактивности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Аденовирус,</w:t>
            </w:r>
          </w:p>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клостридиум диффициле токсин А, клостридиум диффициле токсин В, норовирус, ротавирус</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xml:space="preserve">Для минимизации получения ложноположительных результатов  </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Остаточный срок годности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≥18</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месяц</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возможности работы с набором в течение необходимого времени после поставки товара</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Условия хранения тест-кассеты/тест-полоски после вскрытия:</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4</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час</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Для возможности работы с набором в течение необходимого времени ,в том числе в случае случайного вскрытия или повреждения упаковки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Состав набора: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Тест-кассета</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25</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Буферный раствор</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25</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Пипетка для переноса жидкостей</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 25</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штука</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7"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r w:rsidR="00F26947" w:rsidRPr="00E95C1D" w:rsidTr="00CE42D7">
        <w:trPr>
          <w:trHeight w:val="402"/>
        </w:trPr>
        <w:tc>
          <w:tcPr>
            <w:tcW w:w="176"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p>
        </w:tc>
        <w:tc>
          <w:tcPr>
            <w:tcW w:w="460"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369"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3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Обязательное наличие инструкции с подтверждением вышеуказанных характеристик (для проверки достоверности сведений) и регистрационного удостоверения выданного Федеральной Службой по надзору в сфере Здравоохранения с приложениями</w:t>
            </w:r>
          </w:p>
        </w:tc>
        <w:tc>
          <w:tcPr>
            <w:tcW w:w="616"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Наличие</w:t>
            </w:r>
          </w:p>
        </w:tc>
        <w:tc>
          <w:tcPr>
            <w:tcW w:w="309"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w:t>
            </w:r>
          </w:p>
        </w:tc>
        <w:tc>
          <w:tcPr>
            <w:tcW w:w="507"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Необходимо для возможности обследования числа пациентов согласно Приказу от 2 июня 2015 г. N 290н, согласно которому на одного пациента отводится 15 минут. Сокращение времени контакта медицинского  персонала. с пациентами.</w:t>
            </w:r>
          </w:p>
        </w:tc>
        <w:tc>
          <w:tcPr>
            <w:tcW w:w="552" w:type="pct"/>
            <w:tcBorders>
              <w:top w:val="single" w:sz="4" w:space="0" w:color="auto"/>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jc w:val="center"/>
              <w:rPr>
                <w:rFonts w:ascii="Times New Roman" w:eastAsia="Times New Roman" w:hAnsi="Times New Roman" w:cs="Times New Roman"/>
                <w:color w:val="000000"/>
                <w:sz w:val="14"/>
                <w:szCs w:val="14"/>
                <w:lang w:eastAsia="ru-RU"/>
              </w:rPr>
            </w:pPr>
            <w:r w:rsidRPr="00E95C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7"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5"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64"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2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c>
          <w:tcPr>
            <w:tcW w:w="251" w:type="pct"/>
            <w:vMerge/>
            <w:tcBorders>
              <w:left w:val="single" w:sz="4" w:space="0" w:color="auto"/>
              <w:bottom w:val="single" w:sz="4" w:space="0" w:color="auto"/>
              <w:right w:val="single" w:sz="4" w:space="0" w:color="auto"/>
            </w:tcBorders>
            <w:vAlign w:val="center"/>
          </w:tcPr>
          <w:p w:rsidR="00F26947" w:rsidRPr="00E95C1D" w:rsidRDefault="00F26947" w:rsidP="00CE42D7">
            <w:pPr>
              <w:spacing w:after="0" w:line="240" w:lineRule="auto"/>
              <w:rPr>
                <w:rFonts w:ascii="Times New Roman" w:eastAsia="Times New Roman" w:hAnsi="Times New Roman" w:cs="Times New Roman"/>
                <w:color w:val="000000"/>
                <w:sz w:val="14"/>
                <w:szCs w:val="14"/>
                <w:lang w:eastAsia="ru-RU"/>
              </w:rPr>
            </w:pPr>
          </w:p>
        </w:tc>
      </w:tr>
    </w:tbl>
    <w:p w:rsidR="00F26947" w:rsidRDefault="00F26947" w:rsidP="00F26947">
      <w:pPr>
        <w:spacing w:after="0" w:line="240" w:lineRule="auto"/>
        <w:rPr>
          <w:rFonts w:ascii="Times New Roman" w:eastAsia="Times New Roman" w:hAnsi="Times New Roman" w:cs="Times New Roman"/>
          <w:b/>
          <w:bCs/>
          <w:i/>
          <w:color w:val="000000"/>
          <w:lang w:eastAsia="ru-RU"/>
        </w:rPr>
      </w:pPr>
    </w:p>
    <w:p w:rsidR="00F26947" w:rsidRPr="0051388D" w:rsidRDefault="00F26947" w:rsidP="00F26947">
      <w:pPr>
        <w:spacing w:after="0" w:line="240" w:lineRule="auto"/>
        <w:rPr>
          <w:rFonts w:ascii="Times New Roman" w:eastAsia="Times New Roman" w:hAnsi="Times New Roman" w:cs="Times New Roman"/>
          <w:b/>
          <w:bCs/>
          <w:i/>
          <w:color w:val="000000"/>
          <w:lang w:eastAsia="ru-RU"/>
        </w:rPr>
      </w:pPr>
      <w:r w:rsidRPr="0051388D">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F26947" w:rsidRDefault="00F26947" w:rsidP="00F26947">
      <w:pPr>
        <w:pStyle w:val="ConsPlusTitle"/>
        <w:jc w:val="left"/>
        <w:rPr>
          <w:rFonts w:ascii="Times New Roman" w:hAnsi="Times New Roman" w:cs="Times New Roman"/>
          <w:i/>
          <w:color w:val="000000"/>
          <w:sz w:val="22"/>
          <w:szCs w:val="22"/>
        </w:rPr>
      </w:pPr>
    </w:p>
    <w:p w:rsidR="00F26947" w:rsidRPr="0051388D" w:rsidRDefault="00F26947" w:rsidP="00F26947">
      <w:pPr>
        <w:pStyle w:val="ConsPlusTitle"/>
        <w:jc w:val="left"/>
        <w:rPr>
          <w:rFonts w:ascii="Times New Roman" w:hAnsi="Times New Roman" w:cs="Times New Roman"/>
          <w:i/>
          <w:color w:val="000000"/>
          <w:sz w:val="22"/>
          <w:szCs w:val="22"/>
        </w:rPr>
      </w:pPr>
      <w:r w:rsidRPr="0051388D">
        <w:rPr>
          <w:rFonts w:ascii="Times New Roman" w:hAnsi="Times New Roman" w:cs="Times New Roman"/>
          <w:i/>
          <w:color w:val="000000"/>
          <w:sz w:val="22"/>
          <w:szCs w:val="22"/>
        </w:rPr>
        <w:t>*</w:t>
      </w:r>
      <w:r w:rsidRPr="0051388D">
        <w:rPr>
          <w:rFonts w:ascii="Times New Roman" w:hAnsi="Times New Roman" w:cs="Times New Roman"/>
          <w:bCs w:val="0"/>
          <w:i/>
          <w:color w:val="000000"/>
        </w:rPr>
        <w:t>*</w:t>
      </w:r>
      <w:r w:rsidRPr="0051388D">
        <w:rPr>
          <w:rFonts w:ascii="Times New Roman" w:hAnsi="Times New Roman" w:cs="Times New Roman"/>
          <w:i/>
          <w:color w:val="000000"/>
          <w:sz w:val="22"/>
          <w:szCs w:val="22"/>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F26947" w:rsidRPr="0051388D" w:rsidRDefault="00F26947" w:rsidP="00F26947">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F2694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27F" w:rsidRDefault="00C5627F">
      <w:pPr>
        <w:spacing w:after="0" w:line="240" w:lineRule="auto"/>
      </w:pPr>
      <w:r>
        <w:separator/>
      </w:r>
    </w:p>
  </w:endnote>
  <w:endnote w:type="continuationSeparator" w:id="0">
    <w:p w:rsidR="00C5627F" w:rsidRDefault="00C5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B73" w:rsidRDefault="00395B7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5B7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95B7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5B7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5B7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694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5B7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694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27F" w:rsidRDefault="00C5627F">
      <w:pPr>
        <w:spacing w:after="0" w:line="240" w:lineRule="auto"/>
      </w:pPr>
      <w:r>
        <w:separator/>
      </w:r>
    </w:p>
  </w:footnote>
  <w:footnote w:type="continuationSeparator" w:id="0">
    <w:p w:rsidR="00C5627F" w:rsidRDefault="00C5627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B73" w:rsidRDefault="00395B7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B73" w:rsidRDefault="00395B7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5B73" w:rsidRDefault="00395B7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5B73"/>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27F"/>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6947"/>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210">
    <w:name w:val="Заголовок 21"/>
    <w:basedOn w:val="a0"/>
    <w:next w:val="a0"/>
    <w:uiPriority w:val="9"/>
    <w:unhideWhenUsed/>
    <w:qFormat/>
    <w:rsid w:val="00F26947"/>
    <w:pPr>
      <w:keepNext/>
      <w:keepLines/>
      <w:spacing w:before="200" w:after="0"/>
      <w:outlineLvl w:val="1"/>
    </w:pPr>
    <w:rPr>
      <w:rFonts w:ascii="Cambria" w:eastAsia="Times New Roman" w:hAnsi="Cambria" w:cs="Times New Roman"/>
      <w:b/>
      <w:bCs/>
      <w:color w:val="4F81BD"/>
      <w:sz w:val="26"/>
      <w:szCs w:val="26"/>
    </w:rPr>
  </w:style>
  <w:style w:type="paragraph" w:customStyle="1" w:styleId="310">
    <w:name w:val="Заголовок 31"/>
    <w:basedOn w:val="a0"/>
    <w:next w:val="a0"/>
    <w:uiPriority w:val="9"/>
    <w:unhideWhenUsed/>
    <w:qFormat/>
    <w:rsid w:val="00F26947"/>
    <w:pPr>
      <w:keepNext/>
      <w:keepLines/>
      <w:spacing w:after="0" w:line="240" w:lineRule="auto"/>
      <w:contextualSpacing/>
      <w:outlineLvl w:val="2"/>
    </w:pPr>
    <w:rPr>
      <w:rFonts w:ascii="Arial Narrow" w:eastAsia="Times New Roman" w:hAnsi="Arial Narrow" w:cs="Times New Roman"/>
      <w:bCs/>
      <w:sz w:val="16"/>
      <w:lang w:eastAsia="ru-RU"/>
    </w:rPr>
  </w:style>
  <w:style w:type="paragraph" w:customStyle="1" w:styleId="410">
    <w:name w:val="Заголовок 41"/>
    <w:basedOn w:val="a0"/>
    <w:next w:val="a0"/>
    <w:uiPriority w:val="9"/>
    <w:unhideWhenUsed/>
    <w:qFormat/>
    <w:rsid w:val="00F26947"/>
    <w:pPr>
      <w:keepNext/>
      <w:keepLines/>
      <w:spacing w:before="200" w:after="0"/>
      <w:outlineLvl w:val="3"/>
    </w:pPr>
    <w:rPr>
      <w:rFonts w:ascii="Cambria" w:eastAsia="Times New Roman" w:hAnsi="Cambria" w:cs="Times New Roman"/>
      <w:b/>
      <w:bCs/>
      <w:i/>
      <w:iCs/>
      <w:color w:val="4F81BD"/>
    </w:rPr>
  </w:style>
  <w:style w:type="paragraph" w:customStyle="1" w:styleId="510">
    <w:name w:val="Заголовок 51"/>
    <w:basedOn w:val="a0"/>
    <w:next w:val="a0"/>
    <w:uiPriority w:val="9"/>
    <w:semiHidden/>
    <w:unhideWhenUsed/>
    <w:qFormat/>
    <w:rsid w:val="00F26947"/>
    <w:pPr>
      <w:keepNext/>
      <w:keepLines/>
      <w:spacing w:before="200" w:after="0" w:line="240" w:lineRule="auto"/>
      <w:contextualSpacing/>
      <w:outlineLvl w:val="4"/>
    </w:pPr>
    <w:rPr>
      <w:rFonts w:ascii="Cambria" w:eastAsia="Times New Roman" w:hAnsi="Cambria" w:cs="Times New Roman"/>
      <w:color w:val="243F60"/>
      <w:sz w:val="16"/>
      <w:lang w:eastAsia="ru-RU"/>
    </w:rPr>
  </w:style>
  <w:style w:type="numbering" w:customStyle="1" w:styleId="12">
    <w:name w:val="Нет списка1"/>
    <w:next w:val="a3"/>
    <w:uiPriority w:val="99"/>
    <w:semiHidden/>
    <w:unhideWhenUsed/>
    <w:rsid w:val="00F26947"/>
  </w:style>
  <w:style w:type="paragraph" w:customStyle="1" w:styleId="13">
    <w:name w:val="Верхний колонтитул1"/>
    <w:basedOn w:val="a0"/>
    <w:next w:val="a4"/>
    <w:uiPriority w:val="99"/>
    <w:unhideWhenUsed/>
    <w:rsid w:val="00F26947"/>
    <w:pPr>
      <w:tabs>
        <w:tab w:val="center" w:pos="4677"/>
        <w:tab w:val="right" w:pos="9355"/>
      </w:tabs>
      <w:spacing w:after="0" w:line="240" w:lineRule="auto"/>
    </w:pPr>
  </w:style>
  <w:style w:type="paragraph" w:customStyle="1" w:styleId="14">
    <w:name w:val="Абзац списка1"/>
    <w:basedOn w:val="a0"/>
    <w:next w:val="a7"/>
    <w:uiPriority w:val="34"/>
    <w:qFormat/>
    <w:rsid w:val="00F26947"/>
    <w:pPr>
      <w:ind w:left="720"/>
      <w:contextualSpacing/>
    </w:pPr>
  </w:style>
  <w:style w:type="paragraph" w:customStyle="1" w:styleId="15">
    <w:name w:val="Текст выноски1"/>
    <w:basedOn w:val="a0"/>
    <w:next w:val="a9"/>
    <w:uiPriority w:val="99"/>
    <w:semiHidden/>
    <w:unhideWhenUsed/>
    <w:rsid w:val="00F26947"/>
    <w:pPr>
      <w:spacing w:after="0" w:line="240" w:lineRule="auto"/>
    </w:pPr>
    <w:rPr>
      <w:rFonts w:ascii="Tahoma" w:hAnsi="Tahoma" w:cs="Tahoma"/>
      <w:sz w:val="16"/>
      <w:szCs w:val="16"/>
    </w:rPr>
  </w:style>
  <w:style w:type="paragraph" w:customStyle="1" w:styleId="16">
    <w:name w:val="Нижний колонтитул1"/>
    <w:basedOn w:val="a0"/>
    <w:next w:val="ab"/>
    <w:uiPriority w:val="99"/>
    <w:unhideWhenUsed/>
    <w:rsid w:val="00F26947"/>
    <w:pPr>
      <w:tabs>
        <w:tab w:val="center" w:pos="4677"/>
        <w:tab w:val="right" w:pos="9355"/>
      </w:tabs>
      <w:spacing w:after="0" w:line="240" w:lineRule="auto"/>
    </w:pPr>
  </w:style>
  <w:style w:type="table" w:customStyle="1" w:styleId="17">
    <w:name w:val="Сетка таблицы1"/>
    <w:basedOn w:val="a2"/>
    <w:next w:val="ad"/>
    <w:uiPriority w:val="59"/>
    <w:rsid w:val="00F2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1"/>
    <w:uiPriority w:val="99"/>
    <w:unhideWhenUsed/>
    <w:rsid w:val="00F26947"/>
    <w:rPr>
      <w:color w:val="0000FF"/>
      <w:u w:val="single"/>
    </w:rPr>
  </w:style>
  <w:style w:type="paragraph" w:customStyle="1" w:styleId="19">
    <w:name w:val="Список литературы1"/>
    <w:basedOn w:val="a0"/>
    <w:next w:val="a0"/>
    <w:uiPriority w:val="37"/>
    <w:unhideWhenUsed/>
    <w:rsid w:val="00F26947"/>
    <w:pPr>
      <w:tabs>
        <w:tab w:val="num" w:pos="360"/>
      </w:tabs>
      <w:spacing w:after="0" w:line="240" w:lineRule="auto"/>
      <w:contextualSpacing/>
    </w:pPr>
    <w:rPr>
      <w:rFonts w:ascii="Arial Narrow" w:eastAsia="Times New Roman" w:hAnsi="Arial Narrow"/>
      <w:sz w:val="16"/>
      <w:lang w:eastAsia="ru-RU"/>
    </w:rPr>
  </w:style>
  <w:style w:type="paragraph" w:customStyle="1" w:styleId="110">
    <w:name w:val="Оглавление 11"/>
    <w:basedOn w:val="a0"/>
    <w:next w:val="a0"/>
    <w:autoRedefine/>
    <w:uiPriority w:val="39"/>
    <w:unhideWhenUsed/>
    <w:rsid w:val="00F26947"/>
    <w:pPr>
      <w:spacing w:after="0" w:line="240" w:lineRule="auto"/>
      <w:contextualSpacing/>
    </w:pPr>
    <w:rPr>
      <w:rFonts w:ascii="Arial Narrow" w:eastAsia="Times New Roman" w:hAnsi="Arial Narrow"/>
      <w:sz w:val="16"/>
      <w:lang w:eastAsia="ru-RU"/>
    </w:rPr>
  </w:style>
  <w:style w:type="paragraph" w:customStyle="1" w:styleId="211">
    <w:name w:val="Оглавление 21"/>
    <w:basedOn w:val="a0"/>
    <w:next w:val="a0"/>
    <w:autoRedefine/>
    <w:uiPriority w:val="39"/>
    <w:unhideWhenUsed/>
    <w:rsid w:val="00F26947"/>
    <w:pPr>
      <w:tabs>
        <w:tab w:val="right" w:leader="dot" w:pos="4596"/>
      </w:tabs>
      <w:spacing w:after="0" w:line="240" w:lineRule="auto"/>
      <w:ind w:left="181"/>
      <w:contextualSpacing/>
    </w:pPr>
    <w:rPr>
      <w:rFonts w:ascii="Chevin Pro Light" w:eastAsia="Times New Roman" w:hAnsi="Chevin Pro Light"/>
      <w:sz w:val="14"/>
      <w:lang w:eastAsia="ru-RU"/>
    </w:rPr>
  </w:style>
  <w:style w:type="paragraph" w:customStyle="1" w:styleId="311">
    <w:name w:val="Оглавление 31"/>
    <w:basedOn w:val="a0"/>
    <w:next w:val="a0"/>
    <w:autoRedefine/>
    <w:uiPriority w:val="39"/>
    <w:unhideWhenUsed/>
    <w:rsid w:val="00F26947"/>
    <w:pPr>
      <w:tabs>
        <w:tab w:val="right" w:leader="dot" w:pos="4596"/>
      </w:tabs>
      <w:spacing w:after="0" w:line="240" w:lineRule="auto"/>
      <w:ind w:left="357"/>
      <w:contextualSpacing/>
    </w:pPr>
    <w:rPr>
      <w:rFonts w:ascii="Chevin Pro Bold" w:eastAsia="Times New Roman" w:hAnsi="Chevin Pro Bold"/>
      <w:sz w:val="14"/>
      <w:lang w:eastAsia="ru-RU"/>
    </w:rPr>
  </w:style>
  <w:style w:type="paragraph" w:customStyle="1" w:styleId="411">
    <w:name w:val="Оглавление 41"/>
    <w:basedOn w:val="a0"/>
    <w:next w:val="a0"/>
    <w:autoRedefine/>
    <w:uiPriority w:val="39"/>
    <w:unhideWhenUsed/>
    <w:rsid w:val="00F26947"/>
    <w:pPr>
      <w:spacing w:after="0" w:line="240" w:lineRule="auto"/>
      <w:ind w:left="658"/>
    </w:pPr>
    <w:rPr>
      <w:rFonts w:ascii="Chevin Pro Light" w:eastAsia="Times New Roman" w:hAnsi="Chevin Pro Light"/>
      <w:sz w:val="14"/>
      <w:lang w:eastAsia="ru-RU"/>
    </w:rPr>
  </w:style>
  <w:style w:type="paragraph" w:customStyle="1" w:styleId="511">
    <w:name w:val="Оглавление 51"/>
    <w:basedOn w:val="a0"/>
    <w:next w:val="a0"/>
    <w:autoRedefine/>
    <w:uiPriority w:val="39"/>
    <w:unhideWhenUsed/>
    <w:rsid w:val="00F26947"/>
    <w:pPr>
      <w:spacing w:after="100"/>
      <w:ind w:left="880"/>
    </w:pPr>
    <w:rPr>
      <w:rFonts w:eastAsia="Times New Roman"/>
      <w:lang w:eastAsia="ru-RU"/>
    </w:rPr>
  </w:style>
  <w:style w:type="paragraph" w:customStyle="1" w:styleId="61">
    <w:name w:val="Оглавление 61"/>
    <w:basedOn w:val="a0"/>
    <w:next w:val="a0"/>
    <w:autoRedefine/>
    <w:uiPriority w:val="39"/>
    <w:unhideWhenUsed/>
    <w:rsid w:val="00F26947"/>
    <w:pPr>
      <w:spacing w:after="100"/>
      <w:ind w:left="1100"/>
    </w:pPr>
    <w:rPr>
      <w:rFonts w:eastAsia="Times New Roman"/>
      <w:lang w:eastAsia="ru-RU"/>
    </w:rPr>
  </w:style>
  <w:style w:type="paragraph" w:customStyle="1" w:styleId="71">
    <w:name w:val="Оглавление 71"/>
    <w:basedOn w:val="a0"/>
    <w:next w:val="a0"/>
    <w:autoRedefine/>
    <w:uiPriority w:val="39"/>
    <w:unhideWhenUsed/>
    <w:rsid w:val="00F26947"/>
    <w:pPr>
      <w:spacing w:after="100"/>
      <w:ind w:left="1320"/>
    </w:pPr>
    <w:rPr>
      <w:rFonts w:eastAsia="Times New Roman"/>
      <w:lang w:eastAsia="ru-RU"/>
    </w:rPr>
  </w:style>
  <w:style w:type="paragraph" w:customStyle="1" w:styleId="81">
    <w:name w:val="Оглавление 81"/>
    <w:basedOn w:val="a0"/>
    <w:next w:val="a0"/>
    <w:autoRedefine/>
    <w:uiPriority w:val="39"/>
    <w:unhideWhenUsed/>
    <w:rsid w:val="00F26947"/>
    <w:pPr>
      <w:spacing w:after="100"/>
      <w:ind w:left="1540"/>
    </w:pPr>
    <w:rPr>
      <w:rFonts w:eastAsia="Times New Roman"/>
      <w:lang w:eastAsia="ru-RU"/>
    </w:rPr>
  </w:style>
  <w:style w:type="paragraph" w:customStyle="1" w:styleId="91">
    <w:name w:val="Оглавление 91"/>
    <w:basedOn w:val="a0"/>
    <w:next w:val="a0"/>
    <w:autoRedefine/>
    <w:uiPriority w:val="39"/>
    <w:unhideWhenUsed/>
    <w:rsid w:val="00F26947"/>
    <w:pPr>
      <w:spacing w:after="100"/>
      <w:ind w:left="1760"/>
    </w:pPr>
    <w:rPr>
      <w:rFonts w:eastAsia="Times New Roman"/>
      <w:lang w:eastAsia="ru-RU"/>
    </w:rPr>
  </w:style>
  <w:style w:type="character" w:customStyle="1" w:styleId="1a">
    <w:name w:val="Просмотренная гиперссылка1"/>
    <w:basedOn w:val="a1"/>
    <w:uiPriority w:val="99"/>
    <w:semiHidden/>
    <w:unhideWhenUsed/>
    <w:rsid w:val="00F26947"/>
    <w:rPr>
      <w:color w:val="800080"/>
      <w:u w:val="single"/>
    </w:rPr>
  </w:style>
  <w:style w:type="character" w:customStyle="1" w:styleId="212">
    <w:name w:val="Заголовок 2 Знак1"/>
    <w:basedOn w:val="a1"/>
    <w:uiPriority w:val="9"/>
    <w:semiHidden/>
    <w:rsid w:val="00F26947"/>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1"/>
    <w:uiPriority w:val="9"/>
    <w:semiHidden/>
    <w:rsid w:val="00F26947"/>
    <w:rPr>
      <w:rFonts w:asciiTheme="majorHAnsi" w:eastAsiaTheme="majorEastAsia" w:hAnsiTheme="majorHAnsi" w:cstheme="majorBidi"/>
      <w:b/>
      <w:bCs/>
      <w:color w:val="4F81BD" w:themeColor="accent1"/>
    </w:rPr>
  </w:style>
  <w:style w:type="character" w:customStyle="1" w:styleId="412">
    <w:name w:val="Заголовок 4 Знак1"/>
    <w:basedOn w:val="a1"/>
    <w:uiPriority w:val="9"/>
    <w:semiHidden/>
    <w:rsid w:val="00F26947"/>
    <w:rPr>
      <w:rFonts w:asciiTheme="majorHAnsi" w:eastAsiaTheme="majorEastAsia" w:hAnsiTheme="majorHAnsi" w:cstheme="majorBidi"/>
      <w:b/>
      <w:bCs/>
      <w:i/>
      <w:iCs/>
      <w:color w:val="4F81BD" w:themeColor="accent1"/>
    </w:rPr>
  </w:style>
  <w:style w:type="character" w:customStyle="1" w:styleId="512">
    <w:name w:val="Заголовок 5 Знак1"/>
    <w:basedOn w:val="a1"/>
    <w:uiPriority w:val="9"/>
    <w:semiHidden/>
    <w:rsid w:val="00F26947"/>
    <w:rPr>
      <w:rFonts w:asciiTheme="majorHAnsi" w:eastAsiaTheme="majorEastAsia" w:hAnsiTheme="majorHAnsi" w:cstheme="majorBidi"/>
      <w:color w:val="243F60" w:themeColor="accent1" w:themeShade="7F"/>
    </w:rPr>
  </w:style>
  <w:style w:type="character" w:customStyle="1" w:styleId="1b">
    <w:name w:val="Верхний колонтитул Знак1"/>
    <w:basedOn w:val="a1"/>
    <w:uiPriority w:val="99"/>
    <w:semiHidden/>
    <w:rsid w:val="00F26947"/>
  </w:style>
  <w:style w:type="character" w:customStyle="1" w:styleId="1c">
    <w:name w:val="Текст выноски Знак1"/>
    <w:basedOn w:val="a1"/>
    <w:uiPriority w:val="99"/>
    <w:semiHidden/>
    <w:rsid w:val="00F26947"/>
    <w:rPr>
      <w:rFonts w:ascii="Tahoma" w:hAnsi="Tahoma" w:cs="Tahoma"/>
      <w:sz w:val="16"/>
      <w:szCs w:val="16"/>
    </w:rPr>
  </w:style>
  <w:style w:type="character" w:customStyle="1" w:styleId="1d">
    <w:name w:val="Нижний колонтитул Знак1"/>
    <w:basedOn w:val="a1"/>
    <w:uiPriority w:val="99"/>
    <w:semiHidden/>
    <w:rsid w:val="00F26947"/>
  </w:style>
  <w:style w:type="character" w:styleId="af9">
    <w:name w:val="annotation reference"/>
    <w:basedOn w:val="a1"/>
    <w:uiPriority w:val="99"/>
    <w:semiHidden/>
    <w:unhideWhenUsed/>
    <w:rsid w:val="00F26947"/>
    <w:rPr>
      <w:sz w:val="16"/>
      <w:szCs w:val="16"/>
    </w:rPr>
  </w:style>
  <w:style w:type="paragraph" w:styleId="afa">
    <w:name w:val="annotation text"/>
    <w:basedOn w:val="a0"/>
    <w:link w:val="afb"/>
    <w:uiPriority w:val="99"/>
    <w:semiHidden/>
    <w:unhideWhenUsed/>
    <w:rsid w:val="00F26947"/>
    <w:pPr>
      <w:spacing w:after="160" w:line="240" w:lineRule="auto"/>
    </w:pPr>
    <w:rPr>
      <w:sz w:val="20"/>
      <w:szCs w:val="20"/>
    </w:rPr>
  </w:style>
  <w:style w:type="character" w:customStyle="1" w:styleId="afb">
    <w:name w:val="Текст примечания Знак"/>
    <w:basedOn w:val="a1"/>
    <w:link w:val="afa"/>
    <w:uiPriority w:val="99"/>
    <w:semiHidden/>
    <w:rsid w:val="00F26947"/>
    <w:rPr>
      <w:sz w:val="20"/>
      <w:szCs w:val="20"/>
    </w:rPr>
  </w:style>
  <w:style w:type="paragraph" w:styleId="afc">
    <w:name w:val="annotation subject"/>
    <w:basedOn w:val="afa"/>
    <w:next w:val="afa"/>
    <w:link w:val="afd"/>
    <w:uiPriority w:val="99"/>
    <w:semiHidden/>
    <w:unhideWhenUsed/>
    <w:rsid w:val="00F26947"/>
    <w:rPr>
      <w:b/>
      <w:bCs/>
    </w:rPr>
  </w:style>
  <w:style w:type="character" w:customStyle="1" w:styleId="afd">
    <w:name w:val="Тема примечания Знак"/>
    <w:basedOn w:val="afb"/>
    <w:link w:val="afc"/>
    <w:uiPriority w:val="99"/>
    <w:semiHidden/>
    <w:rsid w:val="00F26947"/>
    <w:rPr>
      <w:b/>
      <w:bCs/>
      <w:sz w:val="20"/>
      <w:szCs w:val="20"/>
    </w:rPr>
  </w:style>
  <w:style w:type="paragraph" w:customStyle="1" w:styleId="ConsPlusTitle">
    <w:name w:val="ConsPlusTitle"/>
    <w:uiPriority w:val="99"/>
    <w:rsid w:val="00F26947"/>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D588-54AC-4AFE-B5FA-8E7A8AB3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4312</Words>
  <Characters>24580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2026-03-27T07:52:00Z</dcterms:created>
  <dcterms:modified xsi:type="dcterms:W3CDTF">2026-03-27T07:52:00Z</dcterms:modified>
</cp:coreProperties>
</file>