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B1BD016" wp14:editId="750AC45D">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24.11.2023 № 21.1-03/1550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30.11.2023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923C9A">
            <w:pPr>
              <w:tabs>
                <w:tab w:val="left" w:pos="284"/>
              </w:tabs>
              <w:ind w:left="-1"/>
              <w:jc w:val="both"/>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6391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646"/>
        <w:gridCol w:w="8705"/>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генератора технеция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28.06.2024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заключения </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31.05.2024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
                Поставка осуществляется партиями:
                <w:br/>
                - поставка первой партии, в согласованных с Покупателем объемах, должна быть осуществлена 09.01.2024 .
                <w:br/>
                - последующие поставки осуществляются по заявкам Заказчика, течение 6 (шести) рабочих дней после поступления заявки от Покупателя. Последняя дата подачи заявки на поставку не позднее 23.05.2024. Максимальное количество партий - 12 (двенадцать).
              </w:t>
            </w:r>
            <w:r w:rsidRPr="001347C5">
              <w:rPr>
                <w:rFonts w:ascii="Times New Roman" w:hAnsi="Times New Roman" w:cs="Times New Roman"/>
                <w:sz w:val="24"/>
                <w:szCs w:val="24"/>
              </w:rPr>
              <w:t/>
            </w:r>
            <w:r w:rsidRPr="001347C5">
              <w:rPr>
                <w:rFonts w:ascii="Times New Roman" w:hAnsi="Times New Roman" w:cs="Times New Roman"/>
                <w:sz w:val="24"/>
                <w:szCs w:val="24"/>
              </w:rPr>
              <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Регистрационные удостоверения</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Наличие лицензии на эксплуатацию радиационных источников. </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на момент поставки не менее 14 дней</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bookmarkEnd w:id="0"/>
    <w:p w:rsidR="000820E3" w:rsidRDefault="00E52880"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3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849"/>
        <w:gridCol w:w="1769"/>
        <w:gridCol w:w="2340"/>
        <w:gridCol w:w="698"/>
        <w:gridCol w:w="1786"/>
        <w:gridCol w:w="708"/>
        <w:gridCol w:w="751"/>
        <w:gridCol w:w="1743"/>
        <w:gridCol w:w="1275"/>
        <w:gridCol w:w="811"/>
        <w:gridCol w:w="1209"/>
        <w:gridCol w:w="1052"/>
      </w:tblGrid>
      <w:tr w:rsidR="00075371" w:rsidRPr="00923C9A" w:rsidTr="00B17845">
        <w:tc>
          <w:tcPr>
            <w:tcW w:w="210"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w:t>
            </w:r>
          </w:p>
        </w:tc>
        <w:tc>
          <w:tcPr>
            <w:tcW w:w="554"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Наименование</w:t>
            </w:r>
          </w:p>
        </w:tc>
        <w:tc>
          <w:tcPr>
            <w:tcW w:w="1975" w:type="pct"/>
            <w:gridSpan w:val="4"/>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Технические характеристики</w:t>
            </w:r>
          </w:p>
        </w:tc>
        <w:tc>
          <w:tcPr>
            <w:tcW w:w="212"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Ед. изм.</w:t>
            </w:r>
          </w:p>
        </w:tc>
        <w:tc>
          <w:tcPr>
            <w:tcW w:w="225"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Кол-во</w:t>
            </w:r>
          </w:p>
        </w:tc>
        <w:tc>
          <w:tcPr>
            <w:tcW w:w="522" w:type="pct"/>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ОКПД2/</w:t>
            </w:r>
          </w:p>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КТРУ</w:t>
            </w:r>
          </w:p>
        </w:tc>
        <w:tc>
          <w:tcPr>
            <w:tcW w:w="382" w:type="pct"/>
            <w:shd w:val="clear" w:color="auto" w:fill="FFFF99"/>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Times New Roman" w:hAnsi="Times New Roman" w:cs="Times New Roman"/>
                <w:b/>
                <w:szCs w:val="18"/>
              </w:rPr>
              <w:t>Страна происхождения</w:t>
            </w:r>
          </w:p>
        </w:tc>
        <w:tc>
          <w:tcPr>
            <w:tcW w:w="243" w:type="pct"/>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r w:rsidRPr="00923C9A">
              <w:rPr>
                <w:rFonts w:ascii="Times New Roman" w:eastAsia="Times New Roman" w:hAnsi="Times New Roman" w:cs="Times New Roman"/>
                <w:b/>
                <w:szCs w:val="18"/>
              </w:rPr>
              <w:t xml:space="preserve">НДС </w:t>
            </w:r>
          </w:p>
          <w:p w:rsidR="00075371" w:rsidRPr="00923C9A" w:rsidRDefault="00075371" w:rsidP="00B17845">
            <w:pPr>
              <w:spacing w:after="0" w:line="240" w:lineRule="auto"/>
              <w:jc w:val="center"/>
              <w:rPr>
                <w:rFonts w:ascii="Times New Roman" w:eastAsia="Times New Roman" w:hAnsi="Times New Roman" w:cs="Times New Roman"/>
                <w:b/>
                <w:szCs w:val="18"/>
              </w:rPr>
            </w:pPr>
            <w:r w:rsidRPr="00923C9A">
              <w:rPr>
                <w:rFonts w:ascii="Times New Roman" w:eastAsia="Times New Roman" w:hAnsi="Times New Roman" w:cs="Times New Roman"/>
                <w:b/>
                <w:szCs w:val="18"/>
              </w:rPr>
              <w:t>(%)</w:t>
            </w:r>
          </w:p>
        </w:tc>
        <w:tc>
          <w:tcPr>
            <w:tcW w:w="362" w:type="pct"/>
            <w:shd w:val="clear" w:color="auto" w:fill="FFFF99"/>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Times New Roman" w:hAnsi="Times New Roman" w:cs="Times New Roman"/>
                <w:b/>
                <w:szCs w:val="18"/>
              </w:rPr>
              <w:t>Цена за ед. с НДС (</w:t>
            </w:r>
            <w:proofErr w:type="spellStart"/>
            <w:r w:rsidRPr="00923C9A">
              <w:rPr>
                <w:rFonts w:ascii="Times New Roman" w:eastAsia="Times New Roman" w:hAnsi="Times New Roman" w:cs="Times New Roman"/>
                <w:b/>
                <w:szCs w:val="18"/>
              </w:rPr>
              <w:t>руб</w:t>
            </w:r>
            <w:proofErr w:type="spellEnd"/>
            <w:r w:rsidRPr="00923C9A">
              <w:rPr>
                <w:rFonts w:ascii="Times New Roman" w:eastAsia="Times New Roman" w:hAnsi="Times New Roman" w:cs="Times New Roman"/>
                <w:b/>
                <w:szCs w:val="18"/>
              </w:rPr>
              <w:t>)</w:t>
            </w:r>
          </w:p>
        </w:tc>
        <w:tc>
          <w:tcPr>
            <w:tcW w:w="315" w:type="pct"/>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r w:rsidRPr="00923C9A">
              <w:rPr>
                <w:rFonts w:ascii="Times New Roman" w:eastAsia="Times New Roman" w:hAnsi="Times New Roman" w:cs="Times New Roman"/>
                <w:b/>
                <w:szCs w:val="18"/>
              </w:rPr>
              <w:t xml:space="preserve">Сумма с НДС </w:t>
            </w:r>
          </w:p>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Times New Roman" w:hAnsi="Times New Roman" w:cs="Times New Roman"/>
                <w:b/>
                <w:szCs w:val="18"/>
              </w:rPr>
              <w:t>(</w:t>
            </w:r>
            <w:proofErr w:type="spellStart"/>
            <w:r w:rsidRPr="00923C9A">
              <w:rPr>
                <w:rFonts w:ascii="Times New Roman" w:eastAsia="Times New Roman" w:hAnsi="Times New Roman" w:cs="Times New Roman"/>
                <w:b/>
                <w:szCs w:val="18"/>
              </w:rPr>
              <w:t>руб</w:t>
            </w:r>
            <w:proofErr w:type="spellEnd"/>
            <w:r w:rsidRPr="00923C9A">
              <w:rPr>
                <w:rFonts w:ascii="Times New Roman" w:eastAsia="Times New Roman" w:hAnsi="Times New Roman" w:cs="Times New Roman"/>
                <w:b/>
                <w:szCs w:val="18"/>
              </w:rPr>
              <w:t>)</w:t>
            </w:r>
          </w:p>
        </w:tc>
      </w:tr>
      <w:tr w:rsidR="00075371" w:rsidRPr="00923C9A" w:rsidTr="00B17845">
        <w:tc>
          <w:tcPr>
            <w:tcW w:w="210" w:type="pct"/>
            <w:vMerge w:val="restar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1</w:t>
            </w:r>
          </w:p>
        </w:tc>
        <w:tc>
          <w:tcPr>
            <w:tcW w:w="554" w:type="pct"/>
            <w:vMerge w:val="restart"/>
            <w:shd w:val="clear" w:color="FFFFFF" w:fill="auto"/>
          </w:tcPr>
          <w:p w:rsidR="00075371" w:rsidRPr="00923C9A" w:rsidRDefault="00075371" w:rsidP="00B17845">
            <w:pPr>
              <w:spacing w:after="0" w:line="240" w:lineRule="auto"/>
              <w:rPr>
                <w:rFonts w:ascii="Times New Roman" w:eastAsia="Calibri" w:hAnsi="Times New Roman" w:cs="Times New Roman"/>
                <w:szCs w:val="18"/>
              </w:rPr>
            </w:pPr>
            <w:r w:rsidRPr="00923C9A">
              <w:rPr>
                <w:rFonts w:ascii="Times New Roman" w:eastAsia="Calibri" w:hAnsi="Times New Roman" w:cs="Times New Roman"/>
                <w:szCs w:val="18"/>
              </w:rPr>
              <w:t xml:space="preserve">Генератор </w:t>
            </w:r>
            <w:proofErr w:type="spellStart"/>
            <w:r w:rsidRPr="00923C9A">
              <w:rPr>
                <w:rFonts w:ascii="Times New Roman" w:eastAsia="Calibri" w:hAnsi="Times New Roman" w:cs="Times New Roman"/>
                <w:szCs w:val="18"/>
              </w:rPr>
              <w:t>радионуклидной</w:t>
            </w:r>
            <w:proofErr w:type="spellEnd"/>
            <w:r w:rsidRPr="00923C9A">
              <w:rPr>
                <w:rFonts w:ascii="Times New Roman" w:eastAsia="Calibri" w:hAnsi="Times New Roman" w:cs="Times New Roman"/>
                <w:szCs w:val="18"/>
              </w:rPr>
              <w:t xml:space="preserve"> системы</w:t>
            </w:r>
          </w:p>
        </w:tc>
        <w:tc>
          <w:tcPr>
            <w:tcW w:w="530"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 xml:space="preserve">Наименование </w:t>
            </w:r>
          </w:p>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х-</w:t>
            </w:r>
            <w:proofErr w:type="spellStart"/>
            <w:r w:rsidRPr="00923C9A">
              <w:rPr>
                <w:rFonts w:ascii="Times New Roman" w:eastAsia="Calibri" w:hAnsi="Times New Roman" w:cs="Times New Roman"/>
                <w:b/>
                <w:szCs w:val="18"/>
              </w:rPr>
              <w:t>ки</w:t>
            </w:r>
            <w:proofErr w:type="spellEnd"/>
          </w:p>
        </w:tc>
        <w:tc>
          <w:tcPr>
            <w:tcW w:w="701"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Значение х-</w:t>
            </w:r>
            <w:proofErr w:type="spellStart"/>
            <w:r w:rsidRPr="00923C9A">
              <w:rPr>
                <w:rFonts w:ascii="Times New Roman" w:eastAsia="Calibri" w:hAnsi="Times New Roman" w:cs="Times New Roman"/>
                <w:b/>
                <w:szCs w:val="18"/>
              </w:rPr>
              <w:t>ки</w:t>
            </w:r>
            <w:proofErr w:type="spellEnd"/>
          </w:p>
          <w:p w:rsidR="00075371" w:rsidRPr="00923C9A" w:rsidRDefault="00075371" w:rsidP="00B17845">
            <w:pPr>
              <w:spacing w:after="0" w:line="240" w:lineRule="auto"/>
              <w:jc w:val="center"/>
              <w:rPr>
                <w:rFonts w:ascii="Times New Roman" w:eastAsia="Calibri" w:hAnsi="Times New Roman" w:cs="Times New Roman"/>
                <w:szCs w:val="18"/>
              </w:rPr>
            </w:pPr>
          </w:p>
        </w:tc>
        <w:tc>
          <w:tcPr>
            <w:tcW w:w="209"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Ед.</w:t>
            </w:r>
          </w:p>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изм.</w:t>
            </w:r>
          </w:p>
        </w:tc>
        <w:tc>
          <w:tcPr>
            <w:tcW w:w="535"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r w:rsidRPr="00923C9A">
              <w:rPr>
                <w:rFonts w:ascii="Times New Roman" w:eastAsia="Calibri" w:hAnsi="Times New Roman" w:cs="Times New Roman"/>
                <w:b/>
                <w:szCs w:val="18"/>
              </w:rPr>
              <w:t>Инструкция по заполнению х-к в заявке</w:t>
            </w:r>
          </w:p>
        </w:tc>
        <w:tc>
          <w:tcPr>
            <w:tcW w:w="212" w:type="pct"/>
            <w:vMerge w:val="restar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roofErr w:type="spellStart"/>
            <w:r w:rsidRPr="00923C9A">
              <w:rPr>
                <w:rFonts w:ascii="Times New Roman" w:eastAsia="Calibri" w:hAnsi="Times New Roman" w:cs="Times New Roman"/>
                <w:szCs w:val="18"/>
              </w:rPr>
              <w:t>шт</w:t>
            </w:r>
            <w:proofErr w:type="spellEnd"/>
          </w:p>
        </w:tc>
        <w:tc>
          <w:tcPr>
            <w:tcW w:w="225" w:type="pct"/>
            <w:vMerge w:val="restar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r w:rsidRPr="00923C9A">
              <w:rPr>
                <w:rFonts w:ascii="Times New Roman" w:eastAsia="Calibri" w:hAnsi="Times New Roman" w:cs="Times New Roman"/>
                <w:szCs w:val="18"/>
              </w:rPr>
              <w:t>12</w:t>
            </w:r>
          </w:p>
        </w:tc>
        <w:tc>
          <w:tcPr>
            <w:tcW w:w="522" w:type="pct"/>
            <w:vMerge w:val="restart"/>
          </w:tcPr>
          <w:p w:rsidR="00075371" w:rsidRPr="00923C9A" w:rsidRDefault="00075371" w:rsidP="00B17845">
            <w:pPr>
              <w:spacing w:after="0" w:line="240" w:lineRule="auto"/>
              <w:jc w:val="center"/>
              <w:rPr>
                <w:rFonts w:ascii="Times New Roman" w:eastAsia="Calibri" w:hAnsi="Times New Roman" w:cs="Times New Roman"/>
                <w:szCs w:val="18"/>
              </w:rPr>
            </w:pPr>
            <w:r w:rsidRPr="00923C9A">
              <w:rPr>
                <w:rFonts w:ascii="Times New Roman" w:eastAsia="Calibri" w:hAnsi="Times New Roman" w:cs="Times New Roman"/>
                <w:szCs w:val="18"/>
              </w:rPr>
              <w:t>26.60.11.129-00000001*</w:t>
            </w:r>
          </w:p>
        </w:tc>
        <w:tc>
          <w:tcPr>
            <w:tcW w:w="382" w:type="pct"/>
            <w:vMerge w:val="restart"/>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243" w:type="pct"/>
            <w:vMerge w:val="restart"/>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62" w:type="pct"/>
            <w:vMerge w:val="restart"/>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15" w:type="pct"/>
            <w:vMerge w:val="restart"/>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r>
      <w:tr w:rsidR="00075371" w:rsidRPr="00923C9A" w:rsidTr="00B17845">
        <w:tc>
          <w:tcPr>
            <w:tcW w:w="210"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p>
        </w:tc>
        <w:tc>
          <w:tcPr>
            <w:tcW w:w="554" w:type="pct"/>
            <w:vMerge/>
            <w:shd w:val="clear" w:color="FFFFFF" w:fill="auto"/>
          </w:tcPr>
          <w:p w:rsidR="00075371" w:rsidRPr="00923C9A" w:rsidRDefault="00075371" w:rsidP="00B17845">
            <w:pPr>
              <w:spacing w:after="0" w:line="240" w:lineRule="auto"/>
              <w:rPr>
                <w:rFonts w:ascii="Times New Roman" w:eastAsia="Calibri" w:hAnsi="Times New Roman" w:cs="Times New Roman"/>
                <w:szCs w:val="18"/>
              </w:rPr>
            </w:pPr>
          </w:p>
        </w:tc>
        <w:tc>
          <w:tcPr>
            <w:tcW w:w="530" w:type="pct"/>
            <w:shd w:val="clear" w:color="FFFFFF" w:fill="auto"/>
          </w:tcPr>
          <w:p w:rsidR="00075371" w:rsidRPr="00923C9A" w:rsidRDefault="00075371" w:rsidP="00B17845">
            <w:pPr>
              <w:tabs>
                <w:tab w:val="left" w:pos="1236"/>
              </w:tabs>
              <w:spacing w:after="0" w:line="240" w:lineRule="auto"/>
              <w:jc w:val="both"/>
              <w:rPr>
                <w:rFonts w:ascii="Times New Roman" w:eastAsia="Calibri" w:hAnsi="Times New Roman" w:cs="Times New Roman"/>
                <w:szCs w:val="18"/>
              </w:rPr>
            </w:pPr>
            <w:r w:rsidRPr="00923C9A">
              <w:rPr>
                <w:rFonts w:ascii="Times New Roman" w:eastAsia="Calibri" w:hAnsi="Times New Roman" w:cs="Times New Roman"/>
                <w:szCs w:val="18"/>
              </w:rPr>
              <w:t>Наименование</w:t>
            </w:r>
          </w:p>
        </w:tc>
        <w:tc>
          <w:tcPr>
            <w:tcW w:w="701"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r w:rsidRPr="00923C9A">
              <w:rPr>
                <w:rFonts w:ascii="Times New Roman" w:eastAsia="Calibri" w:hAnsi="Times New Roman" w:cs="Times New Roman"/>
                <w:szCs w:val="18"/>
              </w:rPr>
              <w:t>Генератор технеция-99m</w:t>
            </w:r>
          </w:p>
        </w:tc>
        <w:tc>
          <w:tcPr>
            <w:tcW w:w="209"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35" w:type="pct"/>
            <w:shd w:val="clear" w:color="FFFFFF" w:fill="auto"/>
          </w:tcPr>
          <w:p w:rsidR="00075371" w:rsidRPr="00923C9A" w:rsidRDefault="00075371" w:rsidP="00B17845">
            <w:pPr>
              <w:spacing w:after="0" w:line="240" w:lineRule="auto"/>
              <w:rPr>
                <w:rFonts w:ascii="Times New Roman" w:eastAsia="Calibri" w:hAnsi="Times New Roman" w:cs="Times New Roman"/>
                <w:szCs w:val="18"/>
              </w:rPr>
            </w:pPr>
            <w:r w:rsidRPr="00923C9A">
              <w:rPr>
                <w:rFonts w:ascii="Times New Roman" w:eastAsia="Calibri" w:hAnsi="Times New Roman" w:cs="Times New Roman"/>
                <w:szCs w:val="18"/>
              </w:rPr>
              <w:t>Значение характеристики не может изменяться участником закупки.</w:t>
            </w:r>
          </w:p>
        </w:tc>
        <w:tc>
          <w:tcPr>
            <w:tcW w:w="212"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225"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22" w:type="pct"/>
            <w:vMerge/>
          </w:tcPr>
          <w:p w:rsidR="00075371" w:rsidRPr="00923C9A" w:rsidRDefault="00075371" w:rsidP="00B17845">
            <w:pPr>
              <w:spacing w:after="0" w:line="240" w:lineRule="auto"/>
              <w:jc w:val="center"/>
              <w:rPr>
                <w:rFonts w:ascii="Times New Roman" w:eastAsia="Calibri" w:hAnsi="Times New Roman" w:cs="Times New Roman"/>
                <w:szCs w:val="18"/>
              </w:rPr>
            </w:pPr>
          </w:p>
        </w:tc>
        <w:tc>
          <w:tcPr>
            <w:tcW w:w="38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243"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6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15"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r>
      <w:tr w:rsidR="00075371" w:rsidRPr="00923C9A" w:rsidTr="00B17845">
        <w:tc>
          <w:tcPr>
            <w:tcW w:w="210"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p>
        </w:tc>
        <w:tc>
          <w:tcPr>
            <w:tcW w:w="554" w:type="pct"/>
            <w:vMerge/>
            <w:shd w:val="clear" w:color="FFFFFF" w:fill="auto"/>
          </w:tcPr>
          <w:p w:rsidR="00075371" w:rsidRPr="00923C9A" w:rsidRDefault="00075371" w:rsidP="00B17845">
            <w:pPr>
              <w:spacing w:after="0" w:line="240" w:lineRule="auto"/>
              <w:rPr>
                <w:rFonts w:ascii="Times New Roman" w:eastAsia="Calibri" w:hAnsi="Times New Roman" w:cs="Times New Roman"/>
                <w:szCs w:val="18"/>
              </w:rPr>
            </w:pPr>
          </w:p>
        </w:tc>
        <w:tc>
          <w:tcPr>
            <w:tcW w:w="530" w:type="pct"/>
            <w:shd w:val="clear" w:color="FFFFFF" w:fill="auto"/>
          </w:tcPr>
          <w:p w:rsidR="00075371" w:rsidRPr="00923C9A" w:rsidRDefault="00075371" w:rsidP="00B17845">
            <w:pPr>
              <w:tabs>
                <w:tab w:val="left" w:pos="1236"/>
              </w:tabs>
              <w:spacing w:after="0" w:line="240" w:lineRule="auto"/>
              <w:rPr>
                <w:rFonts w:ascii="Times New Roman" w:eastAsia="Calibri" w:hAnsi="Times New Roman" w:cs="Times New Roman"/>
                <w:szCs w:val="18"/>
              </w:rPr>
            </w:pPr>
            <w:r w:rsidRPr="00923C9A">
              <w:rPr>
                <w:rFonts w:ascii="Times New Roman" w:eastAsia="Calibri" w:hAnsi="Times New Roman" w:cs="Times New Roman"/>
                <w:szCs w:val="18"/>
              </w:rPr>
              <w:t>Тип</w:t>
            </w:r>
          </w:p>
        </w:tc>
        <w:tc>
          <w:tcPr>
            <w:tcW w:w="701"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r w:rsidRPr="00923C9A">
              <w:rPr>
                <w:rFonts w:ascii="Times New Roman" w:eastAsia="Calibri" w:hAnsi="Times New Roman" w:cs="Times New Roman"/>
                <w:szCs w:val="18"/>
              </w:rPr>
              <w:t>ТГ-4К</w:t>
            </w:r>
          </w:p>
        </w:tc>
        <w:tc>
          <w:tcPr>
            <w:tcW w:w="209"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35" w:type="pct"/>
            <w:shd w:val="clear" w:color="FFFFFF" w:fill="auto"/>
          </w:tcPr>
          <w:p w:rsidR="00075371" w:rsidRPr="00923C9A" w:rsidRDefault="00075371" w:rsidP="00B17845">
            <w:pPr>
              <w:spacing w:after="0" w:line="240" w:lineRule="auto"/>
              <w:rPr>
                <w:rFonts w:ascii="Times New Roman" w:eastAsia="Calibri" w:hAnsi="Times New Roman" w:cs="Times New Roman"/>
                <w:szCs w:val="18"/>
              </w:rPr>
            </w:pPr>
            <w:r w:rsidRPr="00923C9A">
              <w:rPr>
                <w:rFonts w:ascii="Times New Roman" w:eastAsia="Calibri" w:hAnsi="Times New Roman" w:cs="Times New Roman"/>
                <w:szCs w:val="18"/>
              </w:rPr>
              <w:t>Значение характеристики не может изменяться участником закупки.</w:t>
            </w:r>
          </w:p>
        </w:tc>
        <w:tc>
          <w:tcPr>
            <w:tcW w:w="212"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225"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22" w:type="pct"/>
            <w:vMerge/>
          </w:tcPr>
          <w:p w:rsidR="00075371" w:rsidRPr="00923C9A" w:rsidRDefault="00075371" w:rsidP="00B17845">
            <w:pPr>
              <w:spacing w:after="0" w:line="240" w:lineRule="auto"/>
              <w:jc w:val="center"/>
              <w:rPr>
                <w:rFonts w:ascii="Times New Roman" w:eastAsia="Calibri" w:hAnsi="Times New Roman" w:cs="Times New Roman"/>
                <w:szCs w:val="18"/>
              </w:rPr>
            </w:pPr>
          </w:p>
        </w:tc>
        <w:tc>
          <w:tcPr>
            <w:tcW w:w="38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243"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6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15"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r>
      <w:tr w:rsidR="00075371" w:rsidRPr="00923C9A" w:rsidTr="00B17845">
        <w:tc>
          <w:tcPr>
            <w:tcW w:w="210"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p>
        </w:tc>
        <w:tc>
          <w:tcPr>
            <w:tcW w:w="554" w:type="pct"/>
            <w:vMerge/>
            <w:shd w:val="clear" w:color="FFFFFF" w:fill="auto"/>
          </w:tcPr>
          <w:p w:rsidR="00075371" w:rsidRPr="00923C9A" w:rsidRDefault="00075371" w:rsidP="00B17845">
            <w:pPr>
              <w:spacing w:after="0" w:line="240" w:lineRule="auto"/>
              <w:rPr>
                <w:rFonts w:ascii="Times New Roman" w:eastAsia="Calibri" w:hAnsi="Times New Roman" w:cs="Times New Roman"/>
                <w:szCs w:val="18"/>
              </w:rPr>
            </w:pPr>
          </w:p>
        </w:tc>
        <w:tc>
          <w:tcPr>
            <w:tcW w:w="530" w:type="pct"/>
            <w:shd w:val="clear" w:color="FFFFFF" w:fill="auto"/>
          </w:tcPr>
          <w:p w:rsidR="00075371" w:rsidRPr="00923C9A" w:rsidRDefault="00075371" w:rsidP="00075371">
            <w:pPr>
              <w:tabs>
                <w:tab w:val="left" w:pos="1236"/>
              </w:tabs>
              <w:spacing w:after="0" w:line="240" w:lineRule="auto"/>
              <w:rPr>
                <w:rFonts w:ascii="Times New Roman" w:eastAsia="Calibri" w:hAnsi="Times New Roman" w:cs="Times New Roman"/>
                <w:szCs w:val="18"/>
              </w:rPr>
            </w:pPr>
            <w:r w:rsidRPr="00923C9A">
              <w:rPr>
                <w:rFonts w:ascii="Times New Roman" w:eastAsia="Calibri" w:hAnsi="Times New Roman" w:cs="Times New Roman"/>
                <w:szCs w:val="18"/>
              </w:rPr>
              <w:t>Активность на момент поставки 19</w:t>
            </w:r>
          </w:p>
        </w:tc>
        <w:tc>
          <w:tcPr>
            <w:tcW w:w="701"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r w:rsidRPr="00923C9A">
              <w:rPr>
                <w:rFonts w:ascii="Times New Roman" w:eastAsia="Calibri" w:hAnsi="Times New Roman" w:cs="Times New Roman"/>
                <w:szCs w:val="18"/>
              </w:rPr>
              <w:t xml:space="preserve">19 </w:t>
            </w:r>
            <w:proofErr w:type="spellStart"/>
            <w:r w:rsidRPr="00923C9A">
              <w:rPr>
                <w:rFonts w:ascii="Times New Roman" w:eastAsia="Calibri" w:hAnsi="Times New Roman" w:cs="Times New Roman"/>
                <w:szCs w:val="18"/>
              </w:rPr>
              <w:t>ГБк</w:t>
            </w:r>
            <w:proofErr w:type="spellEnd"/>
          </w:p>
        </w:tc>
        <w:tc>
          <w:tcPr>
            <w:tcW w:w="209"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35" w:type="pct"/>
            <w:shd w:val="clear" w:color="FFFFFF" w:fill="auto"/>
          </w:tcPr>
          <w:p w:rsidR="00075371" w:rsidRPr="00923C9A" w:rsidRDefault="00075371" w:rsidP="00B17845">
            <w:pPr>
              <w:spacing w:after="0" w:line="240" w:lineRule="auto"/>
              <w:rPr>
                <w:rFonts w:ascii="Times New Roman" w:eastAsia="Calibri" w:hAnsi="Times New Roman" w:cs="Times New Roman"/>
                <w:szCs w:val="18"/>
              </w:rPr>
            </w:pPr>
            <w:r w:rsidRPr="00923C9A">
              <w:rPr>
                <w:rFonts w:ascii="Times New Roman" w:eastAsia="Calibri" w:hAnsi="Times New Roman" w:cs="Times New Roman"/>
                <w:szCs w:val="18"/>
              </w:rPr>
              <w:t>Значение характеристики не может изменяться участником закупки.</w:t>
            </w:r>
          </w:p>
        </w:tc>
        <w:tc>
          <w:tcPr>
            <w:tcW w:w="212"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225"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22" w:type="pct"/>
            <w:vMerge/>
          </w:tcPr>
          <w:p w:rsidR="00075371" w:rsidRPr="00923C9A" w:rsidRDefault="00075371" w:rsidP="00B17845">
            <w:pPr>
              <w:spacing w:after="0" w:line="240" w:lineRule="auto"/>
              <w:jc w:val="center"/>
              <w:rPr>
                <w:rFonts w:ascii="Times New Roman" w:eastAsia="Calibri" w:hAnsi="Times New Roman" w:cs="Times New Roman"/>
                <w:szCs w:val="18"/>
              </w:rPr>
            </w:pPr>
          </w:p>
        </w:tc>
        <w:tc>
          <w:tcPr>
            <w:tcW w:w="38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243"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6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15"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r>
      <w:tr w:rsidR="00075371" w:rsidRPr="00923C9A" w:rsidTr="00B17845">
        <w:tc>
          <w:tcPr>
            <w:tcW w:w="210"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b/>
                <w:szCs w:val="18"/>
              </w:rPr>
            </w:pPr>
          </w:p>
        </w:tc>
        <w:tc>
          <w:tcPr>
            <w:tcW w:w="554" w:type="pct"/>
            <w:vMerge/>
            <w:shd w:val="clear" w:color="FFFFFF" w:fill="auto"/>
          </w:tcPr>
          <w:p w:rsidR="00075371" w:rsidRPr="00923C9A" w:rsidRDefault="00075371" w:rsidP="00B17845">
            <w:pPr>
              <w:spacing w:after="0" w:line="240" w:lineRule="auto"/>
              <w:rPr>
                <w:rFonts w:ascii="Times New Roman" w:eastAsia="Calibri" w:hAnsi="Times New Roman" w:cs="Times New Roman"/>
                <w:szCs w:val="18"/>
              </w:rPr>
            </w:pPr>
          </w:p>
        </w:tc>
        <w:tc>
          <w:tcPr>
            <w:tcW w:w="530" w:type="pct"/>
            <w:shd w:val="clear" w:color="FFFFFF" w:fill="auto"/>
          </w:tcPr>
          <w:p w:rsidR="00075371" w:rsidRPr="00923C9A" w:rsidRDefault="00075371" w:rsidP="00B17845">
            <w:pPr>
              <w:tabs>
                <w:tab w:val="left" w:pos="1236"/>
              </w:tabs>
              <w:spacing w:after="0" w:line="240" w:lineRule="auto"/>
              <w:jc w:val="both"/>
              <w:rPr>
                <w:rFonts w:ascii="Times New Roman" w:eastAsia="Calibri" w:hAnsi="Times New Roman" w:cs="Times New Roman"/>
                <w:szCs w:val="18"/>
              </w:rPr>
            </w:pPr>
            <w:r w:rsidRPr="00923C9A">
              <w:rPr>
                <w:rFonts w:ascii="Times New Roman" w:eastAsia="Calibri" w:hAnsi="Times New Roman" w:cs="Times New Roman"/>
                <w:szCs w:val="18"/>
              </w:rPr>
              <w:t>Назначение</w:t>
            </w:r>
          </w:p>
        </w:tc>
        <w:tc>
          <w:tcPr>
            <w:tcW w:w="701"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r w:rsidRPr="00923C9A">
              <w:rPr>
                <w:rFonts w:ascii="Times New Roman" w:eastAsia="Calibri" w:hAnsi="Times New Roman" w:cs="Times New Roman"/>
                <w:szCs w:val="18"/>
              </w:rPr>
              <w:t xml:space="preserve">Предназначен для многократного получения стерильного раствора </w:t>
            </w:r>
            <w:proofErr w:type="spellStart"/>
            <w:r w:rsidRPr="00923C9A">
              <w:rPr>
                <w:rFonts w:ascii="Times New Roman" w:eastAsia="Calibri" w:hAnsi="Times New Roman" w:cs="Times New Roman"/>
                <w:szCs w:val="18"/>
              </w:rPr>
              <w:t>пертехнетата</w:t>
            </w:r>
            <w:proofErr w:type="spellEnd"/>
            <w:r w:rsidRPr="00923C9A">
              <w:rPr>
                <w:rFonts w:ascii="Times New Roman" w:eastAsia="Calibri" w:hAnsi="Times New Roman" w:cs="Times New Roman"/>
                <w:szCs w:val="18"/>
              </w:rPr>
              <w:t xml:space="preserve"> натрия с технецием-99m (</w:t>
            </w:r>
            <w:proofErr w:type="spellStart"/>
            <w:r w:rsidRPr="00923C9A">
              <w:rPr>
                <w:rFonts w:ascii="Times New Roman" w:eastAsia="Calibri" w:hAnsi="Times New Roman" w:cs="Times New Roman"/>
                <w:szCs w:val="18"/>
              </w:rPr>
              <w:t>элюата</w:t>
            </w:r>
            <w:proofErr w:type="spellEnd"/>
            <w:r w:rsidRPr="00923C9A">
              <w:rPr>
                <w:rFonts w:ascii="Times New Roman" w:eastAsia="Calibri" w:hAnsi="Times New Roman" w:cs="Times New Roman"/>
                <w:szCs w:val="18"/>
              </w:rPr>
              <w:t>)</w:t>
            </w:r>
          </w:p>
        </w:tc>
        <w:tc>
          <w:tcPr>
            <w:tcW w:w="209" w:type="pct"/>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35" w:type="pct"/>
            <w:shd w:val="clear" w:color="FFFFFF" w:fill="auto"/>
          </w:tcPr>
          <w:p w:rsidR="00075371" w:rsidRPr="00923C9A" w:rsidRDefault="00075371" w:rsidP="00B17845">
            <w:pPr>
              <w:spacing w:after="0" w:line="240" w:lineRule="auto"/>
              <w:rPr>
                <w:rFonts w:ascii="Times New Roman" w:eastAsia="Calibri" w:hAnsi="Times New Roman" w:cs="Times New Roman"/>
                <w:szCs w:val="18"/>
              </w:rPr>
            </w:pPr>
            <w:r w:rsidRPr="00923C9A">
              <w:rPr>
                <w:rFonts w:ascii="Times New Roman" w:eastAsia="Calibri" w:hAnsi="Times New Roman" w:cs="Times New Roman"/>
                <w:szCs w:val="18"/>
              </w:rPr>
              <w:t>Значение характеристики не может изменяться участником закупки.</w:t>
            </w:r>
          </w:p>
        </w:tc>
        <w:tc>
          <w:tcPr>
            <w:tcW w:w="212"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225" w:type="pct"/>
            <w:vMerge/>
            <w:shd w:val="clear" w:color="FFFFFF" w:fill="auto"/>
          </w:tcPr>
          <w:p w:rsidR="00075371" w:rsidRPr="00923C9A" w:rsidRDefault="00075371" w:rsidP="00B17845">
            <w:pPr>
              <w:spacing w:after="0" w:line="240" w:lineRule="auto"/>
              <w:jc w:val="center"/>
              <w:rPr>
                <w:rFonts w:ascii="Times New Roman" w:eastAsia="Calibri" w:hAnsi="Times New Roman" w:cs="Times New Roman"/>
                <w:szCs w:val="18"/>
              </w:rPr>
            </w:pPr>
          </w:p>
        </w:tc>
        <w:tc>
          <w:tcPr>
            <w:tcW w:w="522" w:type="pct"/>
            <w:vMerge/>
          </w:tcPr>
          <w:p w:rsidR="00075371" w:rsidRPr="00923C9A" w:rsidRDefault="00075371" w:rsidP="00B17845">
            <w:pPr>
              <w:spacing w:after="0" w:line="240" w:lineRule="auto"/>
              <w:jc w:val="center"/>
              <w:rPr>
                <w:rFonts w:ascii="Times New Roman" w:eastAsia="Calibri" w:hAnsi="Times New Roman" w:cs="Times New Roman"/>
                <w:szCs w:val="18"/>
              </w:rPr>
            </w:pPr>
          </w:p>
        </w:tc>
        <w:tc>
          <w:tcPr>
            <w:tcW w:w="38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243"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62"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c>
          <w:tcPr>
            <w:tcW w:w="315" w:type="pct"/>
            <w:vMerge/>
            <w:shd w:val="clear" w:color="auto" w:fill="FFFF99"/>
          </w:tcPr>
          <w:p w:rsidR="00075371" w:rsidRPr="00923C9A" w:rsidRDefault="00075371" w:rsidP="00B17845">
            <w:pPr>
              <w:spacing w:after="0" w:line="240" w:lineRule="auto"/>
              <w:jc w:val="center"/>
              <w:rPr>
                <w:rFonts w:ascii="Times New Roman" w:eastAsia="Times New Roman" w:hAnsi="Times New Roman" w:cs="Times New Roman"/>
                <w:b/>
                <w:szCs w:val="18"/>
              </w:rPr>
            </w:pPr>
          </w:p>
        </w:tc>
      </w:tr>
    </w:tbl>
    <w:p w:rsidR="00EE1A82" w:rsidRDefault="00EE1A82" w:rsidP="00075371">
      <w:pPr>
        <w:spacing w:after="0" w:line="240" w:lineRule="auto"/>
        <w:rPr>
          <w:rFonts w:ascii="Times New Roman" w:hAnsi="Times New Roman" w:cs="Times New Roman"/>
          <w:b/>
          <w:sz w:val="28"/>
          <w:szCs w:val="28"/>
        </w:rPr>
      </w:pPr>
      <w:r w:rsidRPr="005C3979">
        <w:rPr>
          <w:rFonts w:ascii="Times New Roman" w:hAnsi="Times New Roman" w:cs="Times New Roman"/>
          <w:b/>
          <w:sz w:val="28"/>
          <w:szCs w:val="28"/>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EE1A82" w:rsidRPr="00AC5D8E" w:rsidRDefault="00EE1A82" w:rsidP="00EE1A82">
      <w:pPr>
        <w:rPr>
          <w:rFonts w:ascii="Times New Roman" w:hAnsi="Times New Roman" w:cs="Times New Roman"/>
          <w:b/>
          <w:sz w:val="28"/>
          <w:szCs w:val="28"/>
          <w:highlight w:val="yellow"/>
          <w:u w:val="single"/>
        </w:rPr>
      </w:pPr>
      <w:r>
        <w:rPr>
          <w:rFonts w:ascii="Times New Roman" w:hAnsi="Times New Roman" w:cs="Times New Roman"/>
          <w:b/>
          <w:sz w:val="28"/>
          <w:szCs w:val="28"/>
          <w:highlight w:val="yellow"/>
          <w:u w:val="single"/>
        </w:rPr>
        <w:t>Тр</w:t>
      </w:r>
      <w:r w:rsidRPr="00AC5D8E">
        <w:rPr>
          <w:rFonts w:ascii="Times New Roman" w:hAnsi="Times New Roman" w:cs="Times New Roman"/>
          <w:b/>
          <w:sz w:val="28"/>
          <w:szCs w:val="28"/>
          <w:highlight w:val="yellow"/>
          <w:u w:val="single"/>
        </w:rPr>
        <w:t>ебования</w:t>
      </w:r>
      <w:r>
        <w:rPr>
          <w:rFonts w:ascii="Times New Roman" w:hAnsi="Times New Roman" w:cs="Times New Roman"/>
          <w:b/>
          <w:sz w:val="28"/>
          <w:szCs w:val="28"/>
          <w:highlight w:val="yellow"/>
          <w:u w:val="single"/>
        </w:rPr>
        <w:t xml:space="preserve"> к осуществлению перевозки Товара</w:t>
      </w:r>
      <w:r w:rsidRPr="00A6371C">
        <w:rPr>
          <w:rFonts w:ascii="Times New Roman" w:hAnsi="Times New Roman" w:cs="Times New Roman"/>
          <w:b/>
          <w:sz w:val="28"/>
          <w:szCs w:val="28"/>
          <w:highlight w:val="yellow"/>
          <w:u w:val="single"/>
        </w:rPr>
        <w:t xml:space="preserve">:  </w:t>
      </w:r>
    </w:p>
    <w:p w:rsidR="00EE1A82" w:rsidRDefault="00EE1A82" w:rsidP="00075371">
      <w:pPr>
        <w:ind w:firstLine="708"/>
        <w:jc w:val="both"/>
        <w:rPr>
          <w:rFonts w:ascii="Times New Roman" w:hAnsi="Times New Roman" w:cs="Times New Roman"/>
          <w:b/>
          <w:sz w:val="28"/>
          <w:szCs w:val="28"/>
        </w:rPr>
      </w:pPr>
      <w:r>
        <w:rPr>
          <w:rFonts w:ascii="Times New Roman" w:hAnsi="Times New Roman" w:cs="Times New Roman"/>
          <w:b/>
          <w:sz w:val="28"/>
          <w:szCs w:val="28"/>
          <w:highlight w:val="yellow"/>
        </w:rPr>
        <w:t>Поставщик обязан обеспечить</w:t>
      </w:r>
      <w:r w:rsidRPr="00AC5D8E">
        <w:rPr>
          <w:rFonts w:ascii="Times New Roman" w:hAnsi="Times New Roman" w:cs="Times New Roman"/>
          <w:b/>
          <w:sz w:val="28"/>
          <w:szCs w:val="28"/>
          <w:highlight w:val="yellow"/>
        </w:rPr>
        <w:t xml:space="preserve"> транспортировку радиационных источников организацией, имеющей соответствующую лицензию на транспортировку радиационных источников</w:t>
      </w:r>
      <w:r>
        <w:rPr>
          <w:rFonts w:ascii="Times New Roman" w:hAnsi="Times New Roman" w:cs="Times New Roman"/>
          <w:b/>
          <w:sz w:val="28"/>
          <w:szCs w:val="28"/>
          <w:highlight w:val="yellow"/>
        </w:rPr>
        <w:t xml:space="preserve"> (располагать такой лицензией либо заключить договор с организацией, имеющей такую лицензию)</w:t>
      </w:r>
      <w:r w:rsidRPr="00AC5D8E">
        <w:rPr>
          <w:rFonts w:ascii="Times New Roman" w:hAnsi="Times New Roman" w:cs="Times New Roman"/>
          <w:b/>
          <w:sz w:val="28"/>
          <w:szCs w:val="28"/>
          <w:highlight w:val="yellow"/>
        </w:rPr>
        <w:t>.</w:t>
      </w:r>
    </w:p>
    <w:sectPr w:rsidR="00EE1A82" w:rsidSect="00075371">
      <w:headerReference w:type="first" r:id="rId16"/>
      <w:footerReference w:type="first" r:id="rId17"/>
      <w:pgSz w:w="16838" w:h="11906" w:orient="landscape"/>
      <w:pgMar w:top="851" w:right="538" w:bottom="568" w:left="567" w:header="567" w:footer="4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019" w:rsidRDefault="00865019">
      <w:pPr>
        <w:spacing w:after="0" w:line="240" w:lineRule="auto"/>
      </w:pPr>
      <w:r>
        <w:separator/>
      </w:r>
    </w:p>
  </w:endnote>
  <w:endnote w:type="continuationSeparator" w:id="0">
    <w:p w:rsidR="00865019" w:rsidRDefault="0086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6391C" w:rsidRDefault="0016391C">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16391C">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6391C">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16391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16391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019" w:rsidRDefault="00865019">
      <w:pPr>
        <w:spacing w:after="0" w:line="240" w:lineRule="auto"/>
      </w:pPr>
      <w:r>
        <w:separator/>
      </w:r>
    </w:p>
  </w:footnote>
  <w:footnote w:type="continuationSeparator" w:id="0">
    <w:p w:rsidR="00865019" w:rsidRDefault="0086501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6391C" w:rsidRDefault="0016391C">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6391C" w:rsidRDefault="0016391C">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16391C" w:rsidRDefault="0016391C">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5371"/>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391C"/>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65019"/>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3C9A"/>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11BA"/>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43322"/>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1A82"/>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03C32F-B02E-4911-8F43-E1515E2E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5D84-6D0C-42C6-898D-F57041F27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2023-11-24T11:15:00Z</dcterms:created>
  <dcterms:modified xsi:type="dcterms:W3CDTF">2023-11-24T11:15:00Z</dcterms:modified>
</cp:coreProperties>
</file>