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16.09.2026 № 05-07/1978</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2036DC">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расходных материалов для отделения лабораторной диагностики</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20.11.2026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письменной заявки от Покупателя. Последняя дата подачи заявки на поставку 12.11.2026.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 преимущество инвалидам</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841" w:type="dxa"/>
        <w:tblInd w:w="108" w:type="dxa"/>
        <w:tblLook w:val="04A0" w:firstRow="1" w:lastRow="0" w:firstColumn="1" w:lastColumn="0" w:noHBand="0" w:noVBand="1"/>
      </w:tblPr>
      <w:tblGrid>
        <w:gridCol w:w="457"/>
        <w:gridCol w:w="2032"/>
        <w:gridCol w:w="1377"/>
        <w:gridCol w:w="1459"/>
        <w:gridCol w:w="2234"/>
        <w:gridCol w:w="1026"/>
        <w:gridCol w:w="1478"/>
        <w:gridCol w:w="638"/>
        <w:gridCol w:w="1150"/>
        <w:gridCol w:w="1401"/>
        <w:gridCol w:w="863"/>
        <w:gridCol w:w="863"/>
        <w:gridCol w:w="863"/>
      </w:tblGrid>
      <w:tr w:rsidR="008E317A" w:rsidRPr="008E317A" w:rsidTr="008E317A">
        <w:trPr>
          <w:trHeight w:val="499"/>
        </w:trPr>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b/>
                <w:bCs/>
                <w:color w:val="000000"/>
                <w:sz w:val="18"/>
                <w:szCs w:val="18"/>
                <w:lang w:eastAsia="ru-RU"/>
              </w:rPr>
            </w:pPr>
            <w:r w:rsidRPr="008E317A">
              <w:rPr>
                <w:rFonts w:ascii="Times New Roman" w:eastAsia="Times New Roman" w:hAnsi="Times New Roman" w:cs="Times New Roman"/>
                <w:b/>
                <w:bCs/>
                <w:color w:val="000000"/>
                <w:sz w:val="18"/>
                <w:szCs w:val="18"/>
                <w:lang w:eastAsia="ru-RU"/>
              </w:rPr>
              <w:t>№ п/п</w:t>
            </w:r>
          </w:p>
        </w:tc>
        <w:tc>
          <w:tcPr>
            <w:tcW w:w="2011" w:type="dxa"/>
            <w:tcBorders>
              <w:top w:val="single" w:sz="4" w:space="0" w:color="auto"/>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b/>
                <w:bCs/>
                <w:color w:val="000000"/>
                <w:sz w:val="18"/>
                <w:szCs w:val="18"/>
                <w:lang w:eastAsia="ru-RU"/>
              </w:rPr>
            </w:pPr>
            <w:r w:rsidRPr="008E317A">
              <w:rPr>
                <w:rFonts w:ascii="Times New Roman" w:eastAsia="Times New Roman" w:hAnsi="Times New Roman" w:cs="Times New Roman"/>
                <w:b/>
                <w:bCs/>
                <w:color w:val="000000"/>
                <w:sz w:val="18"/>
                <w:szCs w:val="18"/>
                <w:lang w:eastAsia="ru-RU"/>
              </w:rPr>
              <w:t>Наименование товара, работы, услуги</w:t>
            </w:r>
          </w:p>
        </w:tc>
        <w:tc>
          <w:tcPr>
            <w:tcW w:w="1363" w:type="dxa"/>
            <w:tcBorders>
              <w:top w:val="single" w:sz="4" w:space="0" w:color="auto"/>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b/>
                <w:bCs/>
                <w:color w:val="000000"/>
                <w:sz w:val="18"/>
                <w:szCs w:val="18"/>
                <w:lang w:eastAsia="ru-RU"/>
              </w:rPr>
            </w:pPr>
            <w:r w:rsidRPr="008E317A">
              <w:rPr>
                <w:rFonts w:ascii="Times New Roman" w:eastAsia="Times New Roman" w:hAnsi="Times New Roman" w:cs="Times New Roman"/>
                <w:b/>
                <w:bCs/>
                <w:color w:val="000000"/>
                <w:sz w:val="18"/>
                <w:szCs w:val="18"/>
                <w:lang w:eastAsia="ru-RU"/>
              </w:rPr>
              <w:t>Код ОКПД 2/КТРУ</w:t>
            </w:r>
          </w:p>
        </w:tc>
        <w:tc>
          <w:tcPr>
            <w:tcW w:w="1445" w:type="dxa"/>
            <w:tcBorders>
              <w:top w:val="single" w:sz="4" w:space="0" w:color="auto"/>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b/>
                <w:bCs/>
                <w:color w:val="000000"/>
                <w:sz w:val="18"/>
                <w:szCs w:val="18"/>
                <w:lang w:eastAsia="ru-RU"/>
              </w:rPr>
            </w:pPr>
            <w:r w:rsidRPr="008E317A">
              <w:rPr>
                <w:rFonts w:ascii="Times New Roman" w:eastAsia="Times New Roman" w:hAnsi="Times New Roman" w:cs="Times New Roman"/>
                <w:b/>
                <w:bCs/>
                <w:color w:val="000000"/>
                <w:sz w:val="18"/>
                <w:szCs w:val="18"/>
                <w:lang w:eastAsia="ru-RU"/>
              </w:rPr>
              <w:t>Наименование характеристики</w:t>
            </w:r>
          </w:p>
        </w:tc>
        <w:tc>
          <w:tcPr>
            <w:tcW w:w="2210" w:type="dxa"/>
            <w:tcBorders>
              <w:top w:val="single" w:sz="4" w:space="0" w:color="auto"/>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b/>
                <w:bCs/>
                <w:color w:val="000000"/>
                <w:sz w:val="18"/>
                <w:szCs w:val="18"/>
                <w:lang w:eastAsia="ru-RU"/>
              </w:rPr>
            </w:pPr>
            <w:r w:rsidRPr="008E317A">
              <w:rPr>
                <w:rFonts w:ascii="Times New Roman" w:eastAsia="Times New Roman" w:hAnsi="Times New Roman" w:cs="Times New Roman"/>
                <w:b/>
                <w:bCs/>
                <w:color w:val="000000"/>
                <w:sz w:val="18"/>
                <w:szCs w:val="18"/>
                <w:lang w:eastAsia="ru-RU"/>
              </w:rPr>
              <w:t>Значение характеристики</w:t>
            </w:r>
          </w:p>
        </w:tc>
        <w:tc>
          <w:tcPr>
            <w:tcW w:w="1017" w:type="dxa"/>
            <w:tcBorders>
              <w:top w:val="single" w:sz="4" w:space="0" w:color="auto"/>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b/>
                <w:bCs/>
                <w:color w:val="000000"/>
                <w:sz w:val="18"/>
                <w:szCs w:val="18"/>
                <w:lang w:eastAsia="ru-RU"/>
              </w:rPr>
            </w:pPr>
            <w:r w:rsidRPr="008E317A">
              <w:rPr>
                <w:rFonts w:ascii="Times New Roman" w:eastAsia="Times New Roman" w:hAnsi="Times New Roman" w:cs="Times New Roman"/>
                <w:b/>
                <w:bCs/>
                <w:color w:val="000000"/>
                <w:sz w:val="18"/>
                <w:szCs w:val="18"/>
                <w:lang w:eastAsia="ru-RU"/>
              </w:rPr>
              <w:t>Единица измерения</w:t>
            </w:r>
          </w:p>
        </w:tc>
        <w:tc>
          <w:tcPr>
            <w:tcW w:w="1463" w:type="dxa"/>
            <w:tcBorders>
              <w:top w:val="single" w:sz="4" w:space="0" w:color="auto"/>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b/>
                <w:bCs/>
                <w:color w:val="000000"/>
                <w:sz w:val="18"/>
                <w:szCs w:val="18"/>
                <w:lang w:eastAsia="ru-RU"/>
              </w:rPr>
            </w:pPr>
            <w:r w:rsidRPr="008E317A">
              <w:rPr>
                <w:rFonts w:ascii="Times New Roman" w:eastAsia="Times New Roman" w:hAnsi="Times New Roman" w:cs="Times New Roman"/>
                <w:b/>
                <w:bCs/>
                <w:color w:val="000000"/>
                <w:sz w:val="18"/>
                <w:szCs w:val="18"/>
                <w:lang w:eastAsia="ru-RU"/>
              </w:rPr>
              <w:t>Инструкция по заполнению</w:t>
            </w:r>
          </w:p>
        </w:tc>
        <w:tc>
          <w:tcPr>
            <w:tcW w:w="633" w:type="dxa"/>
            <w:tcBorders>
              <w:top w:val="single" w:sz="4" w:space="0" w:color="auto"/>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b/>
                <w:bCs/>
                <w:color w:val="000000"/>
                <w:sz w:val="18"/>
                <w:szCs w:val="18"/>
                <w:lang w:eastAsia="ru-RU"/>
              </w:rPr>
            </w:pPr>
            <w:r w:rsidRPr="008E317A">
              <w:rPr>
                <w:rFonts w:ascii="Times New Roman" w:eastAsia="Times New Roman" w:hAnsi="Times New Roman" w:cs="Times New Roman"/>
                <w:b/>
                <w:bCs/>
                <w:color w:val="000000"/>
                <w:sz w:val="18"/>
                <w:szCs w:val="18"/>
                <w:lang w:eastAsia="ru-RU"/>
              </w:rPr>
              <w:t xml:space="preserve">Кол-во </w:t>
            </w:r>
          </w:p>
        </w:tc>
        <w:tc>
          <w:tcPr>
            <w:tcW w:w="1139" w:type="dxa"/>
            <w:tcBorders>
              <w:top w:val="single" w:sz="4" w:space="0" w:color="auto"/>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b/>
                <w:bCs/>
                <w:color w:val="000000"/>
                <w:sz w:val="18"/>
                <w:szCs w:val="18"/>
                <w:lang w:eastAsia="ru-RU"/>
              </w:rPr>
            </w:pPr>
            <w:r w:rsidRPr="008E317A">
              <w:rPr>
                <w:rFonts w:ascii="Times New Roman" w:eastAsia="Times New Roman" w:hAnsi="Times New Roman" w:cs="Times New Roman"/>
                <w:b/>
                <w:bCs/>
                <w:color w:val="000000"/>
                <w:sz w:val="18"/>
                <w:szCs w:val="18"/>
                <w:lang w:eastAsia="ru-RU"/>
              </w:rPr>
              <w:t>Единица измерения (количество товара, объем работы, услуги по ОКЕИ)</w:t>
            </w:r>
          </w:p>
        </w:tc>
        <w:tc>
          <w:tcPr>
            <w:tcW w:w="1387" w:type="dxa"/>
            <w:tcBorders>
              <w:top w:val="single" w:sz="4" w:space="0" w:color="auto"/>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b/>
                <w:bCs/>
                <w:color w:val="000000"/>
                <w:sz w:val="18"/>
                <w:szCs w:val="18"/>
                <w:lang w:eastAsia="ru-RU"/>
              </w:rPr>
            </w:pPr>
            <w:r w:rsidRPr="008E317A">
              <w:rPr>
                <w:rFonts w:ascii="Times New Roman" w:eastAsia="Times New Roman" w:hAnsi="Times New Roman" w:cs="Times New Roman"/>
                <w:b/>
                <w:bCs/>
                <w:color w:val="000000"/>
                <w:sz w:val="18"/>
                <w:szCs w:val="18"/>
                <w:lang w:eastAsia="ru-RU"/>
              </w:rPr>
              <w:t>Страна происхождения Товара</w:t>
            </w:r>
          </w:p>
        </w:tc>
        <w:tc>
          <w:tcPr>
            <w:tcW w:w="906" w:type="dxa"/>
            <w:tcBorders>
              <w:top w:val="single" w:sz="4" w:space="0" w:color="auto"/>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b/>
                <w:bCs/>
                <w:color w:val="000000"/>
                <w:sz w:val="18"/>
                <w:szCs w:val="18"/>
                <w:lang w:eastAsia="ru-RU"/>
              </w:rPr>
            </w:pPr>
            <w:r w:rsidRPr="008E317A">
              <w:rPr>
                <w:rFonts w:ascii="Times New Roman" w:eastAsia="Times New Roman" w:hAnsi="Times New Roman" w:cs="Times New Roman"/>
                <w:b/>
                <w:bCs/>
                <w:color w:val="000000"/>
                <w:sz w:val="18"/>
                <w:szCs w:val="18"/>
                <w:lang w:eastAsia="ru-RU"/>
              </w:rPr>
              <w:t>Ставка НДС%</w:t>
            </w:r>
          </w:p>
        </w:tc>
        <w:tc>
          <w:tcPr>
            <w:tcW w:w="906" w:type="dxa"/>
            <w:tcBorders>
              <w:top w:val="single" w:sz="4" w:space="0" w:color="auto"/>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b/>
                <w:bCs/>
                <w:color w:val="000000"/>
                <w:sz w:val="18"/>
                <w:szCs w:val="18"/>
                <w:lang w:eastAsia="ru-RU"/>
              </w:rPr>
            </w:pPr>
            <w:r w:rsidRPr="008E317A">
              <w:rPr>
                <w:rFonts w:ascii="Times New Roman" w:eastAsia="Times New Roman" w:hAnsi="Times New Roman" w:cs="Times New Roman"/>
                <w:b/>
                <w:bCs/>
                <w:color w:val="000000"/>
                <w:sz w:val="18"/>
                <w:szCs w:val="18"/>
                <w:lang w:eastAsia="ru-RU"/>
              </w:rPr>
              <w:t>Цена за ед. без НДС</w:t>
            </w:r>
          </w:p>
        </w:tc>
        <w:tc>
          <w:tcPr>
            <w:tcW w:w="906" w:type="dxa"/>
            <w:tcBorders>
              <w:top w:val="single" w:sz="4" w:space="0" w:color="auto"/>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b/>
                <w:bCs/>
                <w:color w:val="000000"/>
                <w:sz w:val="18"/>
                <w:szCs w:val="18"/>
                <w:lang w:eastAsia="ru-RU"/>
              </w:rPr>
            </w:pPr>
            <w:r w:rsidRPr="008E317A">
              <w:rPr>
                <w:rFonts w:ascii="Times New Roman" w:eastAsia="Times New Roman" w:hAnsi="Times New Roman" w:cs="Times New Roman"/>
                <w:b/>
                <w:bCs/>
                <w:color w:val="000000"/>
                <w:sz w:val="18"/>
                <w:szCs w:val="18"/>
                <w:lang w:eastAsia="ru-RU"/>
              </w:rPr>
              <w:t>Сумма без НДС</w:t>
            </w:r>
          </w:p>
        </w:tc>
      </w:tr>
      <w:tr w:rsidR="008E317A" w:rsidRPr="008E317A" w:rsidTr="008E317A">
        <w:trPr>
          <w:trHeight w:val="499"/>
        </w:trPr>
        <w:tc>
          <w:tcPr>
            <w:tcW w:w="455"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right"/>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1</w:t>
            </w:r>
          </w:p>
        </w:tc>
        <w:tc>
          <w:tcPr>
            <w:tcW w:w="2011"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Предохранительные крышки</w:t>
            </w:r>
          </w:p>
        </w:tc>
        <w:tc>
          <w:tcPr>
            <w:tcW w:w="136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lang w:eastAsia="ru-RU"/>
              </w:rPr>
            </w:pPr>
            <w:r w:rsidRPr="008E317A">
              <w:rPr>
                <w:rFonts w:ascii="Times New Roman" w:eastAsia="Times New Roman" w:hAnsi="Times New Roman" w:cs="Times New Roman"/>
                <w:color w:val="000000"/>
                <w:lang w:eastAsia="ru-RU"/>
              </w:rPr>
              <w:t>32.50.50.190</w:t>
            </w:r>
          </w:p>
        </w:tc>
        <w:tc>
          <w:tcPr>
            <w:tcW w:w="1445"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Назначение</w:t>
            </w: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1017"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 </w:t>
            </w:r>
          </w:p>
        </w:tc>
        <w:tc>
          <w:tcPr>
            <w:tcW w:w="146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Значение характеристики не может изменяться участником закупки</w:t>
            </w:r>
          </w:p>
        </w:tc>
        <w:tc>
          <w:tcPr>
            <w:tcW w:w="63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right"/>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3</w:t>
            </w:r>
          </w:p>
        </w:tc>
        <w:tc>
          <w:tcPr>
            <w:tcW w:w="1139"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упак</w:t>
            </w:r>
          </w:p>
        </w:tc>
        <w:tc>
          <w:tcPr>
            <w:tcW w:w="138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lang w:eastAsia="ru-RU"/>
              </w:rPr>
            </w:pPr>
          </w:p>
        </w:tc>
        <w:tc>
          <w:tcPr>
            <w:tcW w:w="144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Для защиты реагентов от разбрызгивания.</w:t>
            </w:r>
          </w:p>
        </w:tc>
        <w:tc>
          <w:tcPr>
            <w:tcW w:w="101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14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1445"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Фасовка</w:t>
            </w: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Не  менее 200 шт/упак</w:t>
            </w:r>
          </w:p>
        </w:tc>
        <w:tc>
          <w:tcPr>
            <w:tcW w:w="1017"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 </w:t>
            </w:r>
          </w:p>
        </w:tc>
        <w:tc>
          <w:tcPr>
            <w:tcW w:w="146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Участник закупки указывает в заявке конкретное значение характеристики</w:t>
            </w: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1445"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Совместимость</w:t>
            </w:r>
          </w:p>
        </w:tc>
        <w:tc>
          <w:tcPr>
            <w:tcW w:w="2210"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Совместим с автоматическим иммунохимическим анализатором ARCHITECT i2000 имеющимся у заказчика, не вызывает сбоев в работе анализатора, не снижает достоверность результатов исследований.</w:t>
            </w:r>
          </w:p>
        </w:tc>
        <w:tc>
          <w:tcPr>
            <w:tcW w:w="1017"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 </w:t>
            </w:r>
          </w:p>
        </w:tc>
        <w:tc>
          <w:tcPr>
            <w:tcW w:w="146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Значение характеристики не может изменяться участником закупки</w:t>
            </w: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44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2210"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101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14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r>
      <w:tr w:rsidR="008E317A" w:rsidRPr="008E317A" w:rsidTr="008E317A">
        <w:trPr>
          <w:trHeight w:val="499"/>
        </w:trPr>
        <w:tc>
          <w:tcPr>
            <w:tcW w:w="455"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right"/>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2</w:t>
            </w:r>
          </w:p>
        </w:tc>
        <w:tc>
          <w:tcPr>
            <w:tcW w:w="2011"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Кювета для лабораторного анализатора ИВД, одноразового использования</w:t>
            </w:r>
          </w:p>
        </w:tc>
        <w:tc>
          <w:tcPr>
            <w:tcW w:w="136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2036DC" w:rsidP="008E317A">
            <w:pPr>
              <w:spacing w:after="0" w:line="240" w:lineRule="auto"/>
              <w:jc w:val="center"/>
              <w:rPr>
                <w:rFonts w:ascii="Calibri" w:eastAsia="Times New Roman" w:hAnsi="Calibri" w:cs="Times New Roman"/>
                <w:color w:val="0563C1"/>
                <w:u w:val="single"/>
                <w:lang w:eastAsia="ru-RU"/>
              </w:rPr>
            </w:pPr>
            <w:hyperlink r:id="rId18" w:tgtFrame="_blank" w:history="1">
              <w:r w:rsidR="008E317A" w:rsidRPr="008E317A">
                <w:rPr>
                  <w:rFonts w:ascii="Calibri" w:eastAsia="Times New Roman" w:hAnsi="Calibri" w:cs="Times New Roman"/>
                  <w:color w:val="0563C1"/>
                  <w:u w:val="single"/>
                  <w:lang w:eastAsia="ru-RU"/>
                </w:rPr>
                <w:t>32.50.50.190-00003064</w:t>
              </w:r>
            </w:hyperlink>
            <w:r w:rsidR="008E317A">
              <w:rPr>
                <w:rFonts w:ascii="Calibri" w:eastAsia="Times New Roman" w:hAnsi="Calibri" w:cs="Times New Roman"/>
                <w:color w:val="0563C1"/>
                <w:u w:val="single"/>
                <w:lang w:eastAsia="ru-RU"/>
              </w:rPr>
              <w:t>*</w:t>
            </w:r>
          </w:p>
        </w:tc>
        <w:tc>
          <w:tcPr>
            <w:tcW w:w="1445"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Назначение</w:t>
            </w: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1017"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val="en-US" w:eastAsia="ru-RU"/>
              </w:rPr>
              <w:t> </w:t>
            </w:r>
          </w:p>
        </w:tc>
        <w:tc>
          <w:tcPr>
            <w:tcW w:w="146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Участник закупки указывает в заявке конкретное значение характеристики</w:t>
            </w:r>
          </w:p>
        </w:tc>
        <w:tc>
          <w:tcPr>
            <w:tcW w:w="63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right"/>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40000</w:t>
            </w:r>
          </w:p>
        </w:tc>
        <w:tc>
          <w:tcPr>
            <w:tcW w:w="1139"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штука</w:t>
            </w:r>
          </w:p>
        </w:tc>
        <w:tc>
          <w:tcPr>
            <w:tcW w:w="138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Calibri" w:eastAsia="Times New Roman" w:hAnsi="Calibri" w:cs="Times New Roman"/>
                <w:color w:val="0563C1"/>
                <w:u w:val="single"/>
                <w:lang w:eastAsia="ru-RU"/>
              </w:rPr>
            </w:pPr>
          </w:p>
        </w:tc>
        <w:tc>
          <w:tcPr>
            <w:tcW w:w="144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val="en-US" w:eastAsia="ru-RU"/>
              </w:rPr>
            </w:pPr>
            <w:r w:rsidRPr="008E317A">
              <w:rPr>
                <w:rFonts w:ascii="Times New Roman" w:eastAsia="Times New Roman" w:hAnsi="Times New Roman" w:cs="Times New Roman"/>
                <w:color w:val="000000"/>
                <w:sz w:val="18"/>
                <w:szCs w:val="18"/>
                <w:u w:val="single"/>
                <w:lang w:eastAsia="ru-RU"/>
              </w:rPr>
              <w:t>Для</w:t>
            </w:r>
            <w:r w:rsidRPr="008E317A">
              <w:rPr>
                <w:rFonts w:ascii="Times New Roman" w:eastAsia="Times New Roman" w:hAnsi="Times New Roman" w:cs="Times New Roman"/>
                <w:color w:val="000000"/>
                <w:sz w:val="18"/>
                <w:szCs w:val="18"/>
                <w:u w:val="single"/>
                <w:lang w:val="en-US" w:eastAsia="ru-RU"/>
              </w:rPr>
              <w:t xml:space="preserve"> </w:t>
            </w:r>
            <w:r w:rsidRPr="008E317A">
              <w:rPr>
                <w:rFonts w:ascii="Times New Roman" w:eastAsia="Times New Roman" w:hAnsi="Times New Roman" w:cs="Times New Roman"/>
                <w:color w:val="000000"/>
                <w:sz w:val="18"/>
                <w:szCs w:val="18"/>
                <w:u w:val="single"/>
                <w:lang w:eastAsia="ru-RU"/>
              </w:rPr>
              <w:t>анализаторов</w:t>
            </w:r>
            <w:r w:rsidRPr="008E317A">
              <w:rPr>
                <w:rFonts w:ascii="Times New Roman" w:eastAsia="Times New Roman" w:hAnsi="Times New Roman" w:cs="Times New Roman"/>
                <w:color w:val="000000"/>
                <w:sz w:val="18"/>
                <w:szCs w:val="18"/>
                <w:u w:val="single"/>
                <w:lang w:val="en-US" w:eastAsia="ru-RU"/>
              </w:rPr>
              <w:t xml:space="preserve"> ARCHITECT i1000SR, ARCHITECT i2000SR</w:t>
            </w:r>
          </w:p>
        </w:tc>
        <w:tc>
          <w:tcPr>
            <w:tcW w:w="101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val="en-US" w:eastAsia="ru-RU"/>
              </w:rPr>
            </w:pPr>
          </w:p>
        </w:tc>
        <w:tc>
          <w:tcPr>
            <w:tcW w:w="14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val="en-US" w:eastAsia="ru-RU"/>
              </w:rPr>
            </w:pP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val="en-US"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val="en-US"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val="en-US"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val="en-US"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val="en-US"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val="en-US" w:eastAsia="ru-RU"/>
              </w:rPr>
            </w:pP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val="en-US"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val="en-US" w:eastAsia="ru-RU"/>
              </w:rPr>
            </w:pPr>
          </w:p>
        </w:tc>
        <w:tc>
          <w:tcPr>
            <w:tcW w:w="136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val="en-US" w:eastAsia="ru-RU"/>
              </w:rPr>
            </w:pPr>
            <w:r w:rsidRPr="008E317A">
              <w:rPr>
                <w:rFonts w:ascii="Times New Roman" w:eastAsia="Times New Roman" w:hAnsi="Times New Roman" w:cs="Times New Roman"/>
                <w:color w:val="000000"/>
                <w:sz w:val="18"/>
                <w:szCs w:val="18"/>
                <w:lang w:val="en-US" w:eastAsia="ru-RU"/>
              </w:rPr>
              <w:t> </w:t>
            </w:r>
          </w:p>
        </w:tc>
        <w:tc>
          <w:tcPr>
            <w:tcW w:w="1445"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Совместимость</w:t>
            </w:r>
          </w:p>
        </w:tc>
        <w:tc>
          <w:tcPr>
            <w:tcW w:w="2210"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Совместим с автоматическим иммунохимическим анализатором ARCHITECT i2000 имеющимся у заказчика, не вызывает сбоев в работе анализатора, не снижает достоверность результатов исследований.</w:t>
            </w:r>
          </w:p>
        </w:tc>
        <w:tc>
          <w:tcPr>
            <w:tcW w:w="1017"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 </w:t>
            </w:r>
          </w:p>
        </w:tc>
        <w:tc>
          <w:tcPr>
            <w:tcW w:w="146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Значение характеристики не может изменяться участником закупки</w:t>
            </w: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44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2210"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101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14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r>
      <w:tr w:rsidR="008E317A" w:rsidRPr="008E317A" w:rsidTr="008E317A">
        <w:trPr>
          <w:trHeight w:val="499"/>
        </w:trPr>
        <w:tc>
          <w:tcPr>
            <w:tcW w:w="455"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right"/>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3</w:t>
            </w:r>
          </w:p>
        </w:tc>
        <w:tc>
          <w:tcPr>
            <w:tcW w:w="2011"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Кювета для лабораторного анализатора ИВД, одноразового использования</w:t>
            </w:r>
          </w:p>
        </w:tc>
        <w:tc>
          <w:tcPr>
            <w:tcW w:w="1363" w:type="dxa"/>
            <w:tcBorders>
              <w:top w:val="nil"/>
              <w:left w:val="nil"/>
              <w:bottom w:val="single" w:sz="4" w:space="0" w:color="auto"/>
              <w:right w:val="single" w:sz="4" w:space="0" w:color="auto"/>
            </w:tcBorders>
            <w:shd w:val="clear" w:color="auto" w:fill="auto"/>
            <w:vAlign w:val="center"/>
            <w:hideMark/>
          </w:tcPr>
          <w:p w:rsidR="008E317A" w:rsidRPr="008E317A" w:rsidRDefault="002036DC" w:rsidP="008E317A">
            <w:pPr>
              <w:spacing w:after="0" w:line="240" w:lineRule="auto"/>
              <w:jc w:val="center"/>
              <w:rPr>
                <w:rFonts w:ascii="Calibri" w:eastAsia="Times New Roman" w:hAnsi="Calibri" w:cs="Times New Roman"/>
                <w:color w:val="0563C1"/>
                <w:u w:val="single"/>
                <w:lang w:eastAsia="ru-RU"/>
              </w:rPr>
            </w:pPr>
            <w:hyperlink r:id="rId19" w:tgtFrame="_blank" w:history="1">
              <w:r w:rsidR="008E317A" w:rsidRPr="008E317A">
                <w:rPr>
                  <w:rFonts w:ascii="Calibri" w:eastAsia="Times New Roman" w:hAnsi="Calibri" w:cs="Times New Roman"/>
                  <w:color w:val="0563C1"/>
                  <w:u w:val="single"/>
                  <w:lang w:eastAsia="ru-RU"/>
                </w:rPr>
                <w:t>32.50.50.190-00003064</w:t>
              </w:r>
            </w:hyperlink>
            <w:r w:rsidR="008E317A">
              <w:rPr>
                <w:rFonts w:ascii="Calibri" w:eastAsia="Times New Roman" w:hAnsi="Calibri" w:cs="Times New Roman"/>
                <w:color w:val="0563C1"/>
                <w:u w:val="single"/>
                <w:lang w:eastAsia="ru-RU"/>
              </w:rPr>
              <w:t>*</w:t>
            </w:r>
          </w:p>
        </w:tc>
        <w:tc>
          <w:tcPr>
            <w:tcW w:w="1445"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Назначение</w:t>
            </w: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val="en-US" w:eastAsia="ru-RU"/>
              </w:rPr>
            </w:pPr>
            <w:r w:rsidRPr="008E317A">
              <w:rPr>
                <w:rFonts w:ascii="Times New Roman" w:eastAsia="Times New Roman" w:hAnsi="Times New Roman" w:cs="Times New Roman"/>
                <w:color w:val="000000"/>
                <w:sz w:val="18"/>
                <w:szCs w:val="18"/>
                <w:u w:val="single"/>
                <w:lang w:eastAsia="ru-RU"/>
              </w:rPr>
              <w:t>Для</w:t>
            </w:r>
            <w:r w:rsidRPr="008E317A">
              <w:rPr>
                <w:rFonts w:ascii="Times New Roman" w:eastAsia="Times New Roman" w:hAnsi="Times New Roman" w:cs="Times New Roman"/>
                <w:color w:val="000000"/>
                <w:sz w:val="18"/>
                <w:szCs w:val="18"/>
                <w:u w:val="single"/>
                <w:lang w:val="en-US" w:eastAsia="ru-RU"/>
              </w:rPr>
              <w:t xml:space="preserve"> </w:t>
            </w:r>
            <w:r w:rsidRPr="008E317A">
              <w:rPr>
                <w:rFonts w:ascii="Times New Roman" w:eastAsia="Times New Roman" w:hAnsi="Times New Roman" w:cs="Times New Roman"/>
                <w:color w:val="000000"/>
                <w:sz w:val="18"/>
                <w:szCs w:val="18"/>
                <w:u w:val="single"/>
                <w:lang w:eastAsia="ru-RU"/>
              </w:rPr>
              <w:t>анализаторов</w:t>
            </w:r>
            <w:r w:rsidRPr="008E317A">
              <w:rPr>
                <w:rFonts w:ascii="Times New Roman" w:eastAsia="Times New Roman" w:hAnsi="Times New Roman" w:cs="Times New Roman"/>
                <w:color w:val="000000"/>
                <w:sz w:val="18"/>
                <w:szCs w:val="18"/>
                <w:u w:val="single"/>
                <w:lang w:val="en-US" w:eastAsia="ru-RU"/>
              </w:rPr>
              <w:t xml:space="preserve"> ARCHITECT i1000SR, ARCHITECT i2000SR</w:t>
            </w:r>
          </w:p>
        </w:tc>
        <w:tc>
          <w:tcPr>
            <w:tcW w:w="1017"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val="en-US" w:eastAsia="ru-RU"/>
              </w:rPr>
            </w:pPr>
            <w:r w:rsidRPr="008E317A">
              <w:rPr>
                <w:rFonts w:ascii="Times New Roman" w:eastAsia="Times New Roman" w:hAnsi="Times New Roman" w:cs="Times New Roman"/>
                <w:color w:val="000000"/>
                <w:sz w:val="18"/>
                <w:szCs w:val="18"/>
                <w:u w:val="single"/>
                <w:lang w:val="en-US" w:eastAsia="ru-RU"/>
              </w:rPr>
              <w:t> </w:t>
            </w:r>
          </w:p>
        </w:tc>
        <w:tc>
          <w:tcPr>
            <w:tcW w:w="146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Участник закупки указывает в заявке конкретное значение характеристики</w:t>
            </w:r>
          </w:p>
        </w:tc>
        <w:tc>
          <w:tcPr>
            <w:tcW w:w="63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right"/>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2000</w:t>
            </w:r>
          </w:p>
        </w:tc>
        <w:tc>
          <w:tcPr>
            <w:tcW w:w="1139"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штука</w:t>
            </w:r>
          </w:p>
        </w:tc>
        <w:tc>
          <w:tcPr>
            <w:tcW w:w="138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1445"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Совместимость</w:t>
            </w:r>
          </w:p>
        </w:tc>
        <w:tc>
          <w:tcPr>
            <w:tcW w:w="2210"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Совместим с автоматическим иммунохимическим анализатором ARCHITECT i2000 имеющимся у заказчика, не вызывает сбоев в работе анализатора, не снижает достоверность результатов исследований.</w:t>
            </w:r>
          </w:p>
        </w:tc>
        <w:tc>
          <w:tcPr>
            <w:tcW w:w="1017"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 </w:t>
            </w:r>
          </w:p>
        </w:tc>
        <w:tc>
          <w:tcPr>
            <w:tcW w:w="146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Значение характеристики не может изменяться участником закупки</w:t>
            </w: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44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2210"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101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14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r>
      <w:tr w:rsidR="008E317A" w:rsidRPr="008E317A" w:rsidTr="008E317A">
        <w:trPr>
          <w:trHeight w:val="499"/>
        </w:trPr>
        <w:tc>
          <w:tcPr>
            <w:tcW w:w="455"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right"/>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4</w:t>
            </w:r>
          </w:p>
        </w:tc>
        <w:tc>
          <w:tcPr>
            <w:tcW w:w="2011"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Клапаны для помпы</w:t>
            </w:r>
          </w:p>
        </w:tc>
        <w:tc>
          <w:tcPr>
            <w:tcW w:w="136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32.50.50.190</w:t>
            </w:r>
          </w:p>
        </w:tc>
        <w:tc>
          <w:tcPr>
            <w:tcW w:w="1445"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Назначение</w:t>
            </w: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Для одностороннего ограничение потока жидкости при работе насоса</w:t>
            </w:r>
          </w:p>
        </w:tc>
        <w:tc>
          <w:tcPr>
            <w:tcW w:w="1017"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 =</w:t>
            </w:r>
          </w:p>
        </w:tc>
        <w:tc>
          <w:tcPr>
            <w:tcW w:w="146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Значение характеристики не может изменяться участником закупки</w:t>
            </w:r>
          </w:p>
        </w:tc>
        <w:tc>
          <w:tcPr>
            <w:tcW w:w="63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right"/>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2</w:t>
            </w:r>
          </w:p>
        </w:tc>
        <w:tc>
          <w:tcPr>
            <w:tcW w:w="1139"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упак</w:t>
            </w:r>
          </w:p>
        </w:tc>
        <w:tc>
          <w:tcPr>
            <w:tcW w:w="138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1445"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фасовка</w:t>
            </w: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Не менее 1 шт/упак</w:t>
            </w:r>
          </w:p>
        </w:tc>
        <w:tc>
          <w:tcPr>
            <w:tcW w:w="1017"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 </w:t>
            </w:r>
          </w:p>
        </w:tc>
        <w:tc>
          <w:tcPr>
            <w:tcW w:w="146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Участник закупки указывает в заявке конкретное значение характеристики</w:t>
            </w: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1445"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Совместимость</w:t>
            </w:r>
          </w:p>
        </w:tc>
        <w:tc>
          <w:tcPr>
            <w:tcW w:w="2210"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Совместим с автоматическим биохимическим анализатором ARCHITECT 4000 имеющимся у заказчика, не вызывает сбоев в работе анализатора, не снижает достоверность результатов исследований.</w:t>
            </w:r>
          </w:p>
        </w:tc>
        <w:tc>
          <w:tcPr>
            <w:tcW w:w="1017"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 =</w:t>
            </w:r>
          </w:p>
        </w:tc>
        <w:tc>
          <w:tcPr>
            <w:tcW w:w="146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Значение характеристики не может изменяться участником закупки</w:t>
            </w: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44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2210"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101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14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r>
      <w:tr w:rsidR="008E317A" w:rsidRPr="008E317A" w:rsidTr="008E317A">
        <w:trPr>
          <w:trHeight w:val="499"/>
        </w:trPr>
        <w:tc>
          <w:tcPr>
            <w:tcW w:w="455"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right"/>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5</w:t>
            </w:r>
          </w:p>
        </w:tc>
        <w:tc>
          <w:tcPr>
            <w:tcW w:w="2011"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Клапан обратный для промывающего раствора</w:t>
            </w:r>
          </w:p>
        </w:tc>
        <w:tc>
          <w:tcPr>
            <w:tcW w:w="136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32.50.50.190</w:t>
            </w:r>
          </w:p>
        </w:tc>
        <w:tc>
          <w:tcPr>
            <w:tcW w:w="1445"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Назначение</w:t>
            </w: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1017"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 =</w:t>
            </w:r>
          </w:p>
        </w:tc>
        <w:tc>
          <w:tcPr>
            <w:tcW w:w="146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Значение характеристики не может изменяться участником закупки</w:t>
            </w:r>
          </w:p>
        </w:tc>
        <w:tc>
          <w:tcPr>
            <w:tcW w:w="63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right"/>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1</w:t>
            </w:r>
          </w:p>
        </w:tc>
        <w:tc>
          <w:tcPr>
            <w:tcW w:w="1139"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упак</w:t>
            </w:r>
          </w:p>
        </w:tc>
        <w:tc>
          <w:tcPr>
            <w:tcW w:w="138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44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Предназначен для перекачки промывочного раствора в одном направлении</w:t>
            </w:r>
          </w:p>
        </w:tc>
        <w:tc>
          <w:tcPr>
            <w:tcW w:w="101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14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1445"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Фасовка</w:t>
            </w:r>
          </w:p>
        </w:tc>
        <w:tc>
          <w:tcPr>
            <w:tcW w:w="2210"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не менее 1шт/упак</w:t>
            </w:r>
          </w:p>
        </w:tc>
        <w:tc>
          <w:tcPr>
            <w:tcW w:w="1017"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 </w:t>
            </w:r>
          </w:p>
        </w:tc>
        <w:tc>
          <w:tcPr>
            <w:tcW w:w="146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Участник закупки указывает в заявке конкретное значение характеристики</w:t>
            </w: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44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2210"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101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14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1445"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Совместимость</w:t>
            </w:r>
          </w:p>
        </w:tc>
        <w:tc>
          <w:tcPr>
            <w:tcW w:w="2210"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Совместим с автоматическим биохимическим анализатором ARCHITECT 4000 имеющимся у заказчика, не вызывает сбоев в работе анализатора, не снижает достоверность результатов исследований.</w:t>
            </w:r>
          </w:p>
        </w:tc>
        <w:tc>
          <w:tcPr>
            <w:tcW w:w="1017"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 =</w:t>
            </w:r>
          </w:p>
        </w:tc>
        <w:tc>
          <w:tcPr>
            <w:tcW w:w="146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Значение характеристики не может изменяться участником закупки</w:t>
            </w: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44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2210"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101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14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r>
      <w:tr w:rsidR="008E317A" w:rsidRPr="008E317A" w:rsidTr="008E317A">
        <w:trPr>
          <w:trHeight w:val="499"/>
        </w:trPr>
        <w:tc>
          <w:tcPr>
            <w:tcW w:w="455"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right"/>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6</w:t>
            </w:r>
          </w:p>
        </w:tc>
        <w:tc>
          <w:tcPr>
            <w:tcW w:w="2011"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Клапан обратный референсного раствора ICT</w:t>
            </w:r>
          </w:p>
        </w:tc>
        <w:tc>
          <w:tcPr>
            <w:tcW w:w="136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32.50.50.190</w:t>
            </w:r>
          </w:p>
        </w:tc>
        <w:tc>
          <w:tcPr>
            <w:tcW w:w="1445"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Назначение</w:t>
            </w: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 xml:space="preserve">Предназначен для перекачки  раствора ионоселективного ICT модуля в одном направлении </w:t>
            </w:r>
          </w:p>
        </w:tc>
        <w:tc>
          <w:tcPr>
            <w:tcW w:w="1017"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w:t>
            </w:r>
          </w:p>
        </w:tc>
        <w:tc>
          <w:tcPr>
            <w:tcW w:w="146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Значение характеристики не может изменяться участником закупки</w:t>
            </w:r>
          </w:p>
        </w:tc>
        <w:tc>
          <w:tcPr>
            <w:tcW w:w="63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right"/>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1</w:t>
            </w:r>
          </w:p>
        </w:tc>
        <w:tc>
          <w:tcPr>
            <w:tcW w:w="1139"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упак</w:t>
            </w:r>
          </w:p>
        </w:tc>
        <w:tc>
          <w:tcPr>
            <w:tcW w:w="138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1445"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фасовка</w:t>
            </w: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не менее 1шт/упак</w:t>
            </w:r>
          </w:p>
        </w:tc>
        <w:tc>
          <w:tcPr>
            <w:tcW w:w="1017"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w:t>
            </w:r>
          </w:p>
        </w:tc>
        <w:tc>
          <w:tcPr>
            <w:tcW w:w="146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Участник закупки указывает в заявке конкретное значение характеристики</w:t>
            </w: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1445"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Совместимость</w:t>
            </w: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 xml:space="preserve">Совместим с  автоматическим биохимическим анализатором ARCHITECT с4000 имеющимся у заказчика, не вызывает сбоев в работе анализатора, не снижает достоверность результатов исследований </w:t>
            </w:r>
          </w:p>
        </w:tc>
        <w:tc>
          <w:tcPr>
            <w:tcW w:w="1017"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 </w:t>
            </w:r>
          </w:p>
        </w:tc>
        <w:tc>
          <w:tcPr>
            <w:tcW w:w="146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Значение характеристики не может изменяться участником закупки</w:t>
            </w: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r>
      <w:tr w:rsidR="008E317A" w:rsidRPr="008E317A" w:rsidTr="008E317A">
        <w:trPr>
          <w:trHeight w:val="499"/>
        </w:trPr>
        <w:tc>
          <w:tcPr>
            <w:tcW w:w="455"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right"/>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7</w:t>
            </w:r>
          </w:p>
        </w:tc>
        <w:tc>
          <w:tcPr>
            <w:tcW w:w="2011"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Пробозаборник для образцов</w:t>
            </w:r>
          </w:p>
        </w:tc>
        <w:tc>
          <w:tcPr>
            <w:tcW w:w="136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32.50.50.190</w:t>
            </w:r>
          </w:p>
        </w:tc>
        <w:tc>
          <w:tcPr>
            <w:tcW w:w="1445"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Назначение</w:t>
            </w: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1017"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 </w:t>
            </w:r>
          </w:p>
        </w:tc>
        <w:tc>
          <w:tcPr>
            <w:tcW w:w="146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Значение характеристики не может изменяться участником закупки</w:t>
            </w:r>
          </w:p>
        </w:tc>
        <w:tc>
          <w:tcPr>
            <w:tcW w:w="63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right"/>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1</w:t>
            </w:r>
          </w:p>
        </w:tc>
        <w:tc>
          <w:tcPr>
            <w:tcW w:w="1139"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упак</w:t>
            </w:r>
          </w:p>
        </w:tc>
        <w:tc>
          <w:tcPr>
            <w:tcW w:w="138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E317A" w:rsidRPr="008E317A" w:rsidRDefault="008E317A" w:rsidP="008E317A">
            <w:pPr>
              <w:spacing w:after="0" w:line="240" w:lineRule="auto"/>
              <w:jc w:val="center"/>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44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Пробозаборная игла для образцов служит для раскапывания образцов. Представляет собой г-образную трубочку из нержавеющей стали. Предназначен для биохимического анализатора имеющего узаказчика</w:t>
            </w:r>
          </w:p>
        </w:tc>
        <w:tc>
          <w:tcPr>
            <w:tcW w:w="101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14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445"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Фасовка</w:t>
            </w: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 не менее1 шт/упак</w:t>
            </w:r>
          </w:p>
        </w:tc>
        <w:tc>
          <w:tcPr>
            <w:tcW w:w="1017"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w:t>
            </w:r>
          </w:p>
        </w:tc>
        <w:tc>
          <w:tcPr>
            <w:tcW w:w="146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Участник закупки указывает в заявке конкретное значение характеристики</w:t>
            </w: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445"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Совместимость</w:t>
            </w: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 xml:space="preserve">Совместим с автоматическим биохимическим анализатором ARCHITECT с4000 имеющимся у заказчика, не вызывает сбоев в работе анализатора, не снижает достоверность результатов исследований </w:t>
            </w:r>
          </w:p>
        </w:tc>
        <w:tc>
          <w:tcPr>
            <w:tcW w:w="1017"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 </w:t>
            </w:r>
          </w:p>
        </w:tc>
        <w:tc>
          <w:tcPr>
            <w:tcW w:w="146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u w:val="single"/>
                <w:lang w:eastAsia="ru-RU"/>
              </w:rPr>
            </w:pPr>
            <w:r w:rsidRPr="008E317A">
              <w:rPr>
                <w:rFonts w:ascii="Times New Roman" w:eastAsia="Times New Roman" w:hAnsi="Times New Roman" w:cs="Times New Roman"/>
                <w:color w:val="000000"/>
                <w:sz w:val="18"/>
                <w:szCs w:val="18"/>
                <w:u w:val="single"/>
                <w:lang w:eastAsia="ru-RU"/>
              </w:rPr>
              <w:t>Значение характеристики не может изменяться участником закупки</w:t>
            </w: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r>
      <w:tr w:rsidR="008E317A" w:rsidRPr="008E317A" w:rsidTr="008E317A">
        <w:trPr>
          <w:trHeight w:val="499"/>
        </w:trPr>
        <w:tc>
          <w:tcPr>
            <w:tcW w:w="455"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right"/>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8</w:t>
            </w:r>
          </w:p>
        </w:tc>
        <w:tc>
          <w:tcPr>
            <w:tcW w:w="2011"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Игла пробозаборная  для реагентов</w:t>
            </w:r>
          </w:p>
        </w:tc>
        <w:tc>
          <w:tcPr>
            <w:tcW w:w="136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lang w:eastAsia="ru-RU"/>
              </w:rPr>
            </w:pPr>
            <w:r w:rsidRPr="008E317A">
              <w:rPr>
                <w:rFonts w:ascii="Times New Roman" w:eastAsia="Times New Roman" w:hAnsi="Times New Roman" w:cs="Times New Roman"/>
                <w:color w:val="000000"/>
                <w:sz w:val="20"/>
                <w:szCs w:val="20"/>
                <w:lang w:eastAsia="ru-RU"/>
              </w:rPr>
              <w:t>32.50.50.190</w:t>
            </w:r>
          </w:p>
        </w:tc>
        <w:tc>
          <w:tcPr>
            <w:tcW w:w="1445"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Назначение</w:t>
            </w: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Предназначена для забора реагента</w:t>
            </w:r>
          </w:p>
        </w:tc>
        <w:tc>
          <w:tcPr>
            <w:tcW w:w="1017"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w:t>
            </w:r>
          </w:p>
        </w:tc>
        <w:tc>
          <w:tcPr>
            <w:tcW w:w="146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Значение характеристики не может изменяться участником закупки</w:t>
            </w:r>
          </w:p>
        </w:tc>
        <w:tc>
          <w:tcPr>
            <w:tcW w:w="63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right"/>
              <w:rPr>
                <w:rFonts w:ascii="Times New Roman" w:eastAsia="Times New Roman" w:hAnsi="Times New Roman" w:cs="Times New Roman"/>
                <w:color w:val="000000"/>
                <w:sz w:val="20"/>
                <w:szCs w:val="20"/>
                <w:lang w:eastAsia="ru-RU"/>
              </w:rPr>
            </w:pPr>
            <w:r w:rsidRPr="008E317A">
              <w:rPr>
                <w:rFonts w:ascii="Times New Roman" w:eastAsia="Times New Roman" w:hAnsi="Times New Roman" w:cs="Times New Roman"/>
                <w:color w:val="000000"/>
                <w:sz w:val="20"/>
                <w:szCs w:val="20"/>
                <w:lang w:eastAsia="ru-RU"/>
              </w:rPr>
              <w:t>2</w:t>
            </w:r>
          </w:p>
        </w:tc>
        <w:tc>
          <w:tcPr>
            <w:tcW w:w="1139"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lang w:eastAsia="ru-RU"/>
              </w:rPr>
            </w:pPr>
            <w:r w:rsidRPr="008E317A">
              <w:rPr>
                <w:rFonts w:ascii="Times New Roman" w:eastAsia="Times New Roman" w:hAnsi="Times New Roman" w:cs="Times New Roman"/>
                <w:color w:val="000000"/>
                <w:sz w:val="20"/>
                <w:szCs w:val="20"/>
                <w:lang w:eastAsia="ru-RU"/>
              </w:rPr>
              <w:t>упак</w:t>
            </w:r>
          </w:p>
        </w:tc>
        <w:tc>
          <w:tcPr>
            <w:tcW w:w="1387"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lang w:eastAsia="ru-RU"/>
              </w:rPr>
            </w:pPr>
            <w:r w:rsidRPr="008E317A">
              <w:rPr>
                <w:rFonts w:ascii="Times New Roman" w:eastAsia="Times New Roman" w:hAnsi="Times New Roman" w:cs="Times New Roman"/>
                <w:color w:val="000000"/>
                <w:sz w:val="20"/>
                <w:szCs w:val="20"/>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lang w:eastAsia="ru-RU"/>
              </w:rPr>
            </w:pPr>
            <w:r w:rsidRPr="008E317A">
              <w:rPr>
                <w:rFonts w:ascii="Times New Roman" w:eastAsia="Times New Roman" w:hAnsi="Times New Roman" w:cs="Times New Roman"/>
                <w:color w:val="000000"/>
                <w:sz w:val="20"/>
                <w:szCs w:val="20"/>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lang w:eastAsia="ru-RU"/>
              </w:rPr>
            </w:pPr>
            <w:r w:rsidRPr="008E317A">
              <w:rPr>
                <w:rFonts w:ascii="Times New Roman" w:eastAsia="Times New Roman" w:hAnsi="Times New Roman" w:cs="Times New Roman"/>
                <w:color w:val="000000"/>
                <w:sz w:val="20"/>
                <w:szCs w:val="20"/>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lang w:eastAsia="ru-RU"/>
              </w:rPr>
            </w:pPr>
            <w:r w:rsidRPr="008E317A">
              <w:rPr>
                <w:rFonts w:ascii="Times New Roman" w:eastAsia="Times New Roman" w:hAnsi="Times New Roman" w:cs="Times New Roman"/>
                <w:color w:val="000000"/>
                <w:sz w:val="20"/>
                <w:szCs w:val="20"/>
                <w:lang w:eastAsia="ru-RU"/>
              </w:rPr>
              <w:t> </w:t>
            </w: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lang w:eastAsia="ru-RU"/>
              </w:rPr>
            </w:pPr>
          </w:p>
        </w:tc>
        <w:tc>
          <w:tcPr>
            <w:tcW w:w="1445"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фасовка</w:t>
            </w: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не менее 1 шт/упак</w:t>
            </w:r>
          </w:p>
        </w:tc>
        <w:tc>
          <w:tcPr>
            <w:tcW w:w="1017"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w:t>
            </w:r>
          </w:p>
        </w:tc>
        <w:tc>
          <w:tcPr>
            <w:tcW w:w="146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Участник закупки указывает в заявке конкретное значение характеристики</w:t>
            </w: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lang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lang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lang w:eastAsia="ru-RU"/>
              </w:rPr>
            </w:pP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lang w:eastAsia="ru-RU"/>
              </w:rPr>
            </w:pPr>
          </w:p>
        </w:tc>
        <w:tc>
          <w:tcPr>
            <w:tcW w:w="1445"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Совместимость</w:t>
            </w: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Совместим с автоматическим биохимическим анализатором ARCHITECT с4000 имеющимся у заказчика, не вызывает сбоев в работе анализатора, не снижает достоверность результатов исследований</w:t>
            </w:r>
          </w:p>
        </w:tc>
        <w:tc>
          <w:tcPr>
            <w:tcW w:w="1017"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w:t>
            </w:r>
          </w:p>
        </w:tc>
        <w:tc>
          <w:tcPr>
            <w:tcW w:w="146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Значение характеристики не может изменяться участником закупки</w:t>
            </w: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lang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lang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lang w:eastAsia="ru-RU"/>
              </w:rPr>
            </w:pPr>
          </w:p>
        </w:tc>
      </w:tr>
      <w:tr w:rsidR="008E317A" w:rsidRPr="008E317A" w:rsidTr="008E317A">
        <w:trPr>
          <w:trHeight w:val="499"/>
        </w:trPr>
        <w:tc>
          <w:tcPr>
            <w:tcW w:w="455"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right"/>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9</w:t>
            </w:r>
          </w:p>
        </w:tc>
        <w:tc>
          <w:tcPr>
            <w:tcW w:w="2011"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Стеклоочиститель для кювет</w:t>
            </w:r>
          </w:p>
        </w:tc>
        <w:tc>
          <w:tcPr>
            <w:tcW w:w="136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32.50.5.0190</w:t>
            </w:r>
          </w:p>
        </w:tc>
        <w:tc>
          <w:tcPr>
            <w:tcW w:w="1445"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Назначение</w:t>
            </w: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предназначен для очистки внешних поверхностей кювет от воздушных пузырьков</w:t>
            </w:r>
          </w:p>
        </w:tc>
        <w:tc>
          <w:tcPr>
            <w:tcW w:w="1017"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w:t>
            </w:r>
          </w:p>
        </w:tc>
        <w:tc>
          <w:tcPr>
            <w:tcW w:w="146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Значение характеристики не может изменяться участником закупки</w:t>
            </w:r>
          </w:p>
        </w:tc>
        <w:tc>
          <w:tcPr>
            <w:tcW w:w="63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right"/>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1</w:t>
            </w:r>
          </w:p>
        </w:tc>
        <w:tc>
          <w:tcPr>
            <w:tcW w:w="1139"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упак</w:t>
            </w:r>
          </w:p>
        </w:tc>
        <w:tc>
          <w:tcPr>
            <w:tcW w:w="1387"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445"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фасовка</w:t>
            </w: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не менее 1 шт/упак</w:t>
            </w:r>
          </w:p>
        </w:tc>
        <w:tc>
          <w:tcPr>
            <w:tcW w:w="1017"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w:t>
            </w:r>
          </w:p>
        </w:tc>
        <w:tc>
          <w:tcPr>
            <w:tcW w:w="146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Участник закупки указывает в заявке конкретное значение характеристики</w:t>
            </w: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445"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Совместимость</w:t>
            </w: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Совместим с автоматическим биохимическим анализатором ARCHITECT с4000 имеющимся у заказчика, не вызывает сбоев в работе анализатора, не снижает достоверность результатов исследований</w:t>
            </w:r>
          </w:p>
        </w:tc>
        <w:tc>
          <w:tcPr>
            <w:tcW w:w="1017"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w:t>
            </w:r>
          </w:p>
        </w:tc>
        <w:tc>
          <w:tcPr>
            <w:tcW w:w="146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Значение характеристики не может изменяться участником закупки</w:t>
            </w: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r>
      <w:tr w:rsidR="008E317A" w:rsidRPr="008E317A" w:rsidTr="008E317A">
        <w:trPr>
          <w:trHeight w:val="499"/>
        </w:trPr>
        <w:tc>
          <w:tcPr>
            <w:tcW w:w="455"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right"/>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10</w:t>
            </w:r>
          </w:p>
        </w:tc>
        <w:tc>
          <w:tcPr>
            <w:tcW w:w="2011"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Уплотнительное кольцо для шприца образцов/промывающего раствора</w:t>
            </w:r>
          </w:p>
        </w:tc>
        <w:tc>
          <w:tcPr>
            <w:tcW w:w="136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32.50.50.190</w:t>
            </w:r>
          </w:p>
        </w:tc>
        <w:tc>
          <w:tcPr>
            <w:tcW w:w="1445"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Назначение</w:t>
            </w: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Предназначено для уплотнения в поршне шприца образцов/промывающего раствора</w:t>
            </w:r>
          </w:p>
        </w:tc>
        <w:tc>
          <w:tcPr>
            <w:tcW w:w="1017"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w:t>
            </w:r>
          </w:p>
        </w:tc>
        <w:tc>
          <w:tcPr>
            <w:tcW w:w="146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Значение характеристики не может изменяться участником закупки</w:t>
            </w:r>
          </w:p>
        </w:tc>
        <w:tc>
          <w:tcPr>
            <w:tcW w:w="63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right"/>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1</w:t>
            </w:r>
          </w:p>
        </w:tc>
        <w:tc>
          <w:tcPr>
            <w:tcW w:w="1139"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упак</w:t>
            </w:r>
          </w:p>
        </w:tc>
        <w:tc>
          <w:tcPr>
            <w:tcW w:w="1387"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445"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фасовка</w:t>
            </w: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не менее 1 шт/упак</w:t>
            </w:r>
          </w:p>
        </w:tc>
        <w:tc>
          <w:tcPr>
            <w:tcW w:w="1017"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w:t>
            </w:r>
          </w:p>
        </w:tc>
        <w:tc>
          <w:tcPr>
            <w:tcW w:w="146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Участник закупки указывает в заявке конкретное значение характеристики</w:t>
            </w: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445"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Совместимость</w:t>
            </w: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Совместим с автоматическим биохимическим анализатором ARCHITECT с4000 имеющимся у заказчика, не вызывает сбоев в работе анализатора, не снижает достоверность результатов исследований</w:t>
            </w:r>
          </w:p>
        </w:tc>
        <w:tc>
          <w:tcPr>
            <w:tcW w:w="1017"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w:t>
            </w:r>
          </w:p>
        </w:tc>
        <w:tc>
          <w:tcPr>
            <w:tcW w:w="146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Значение характеристики не может изменяться участником закупки</w:t>
            </w:r>
          </w:p>
        </w:tc>
        <w:tc>
          <w:tcPr>
            <w:tcW w:w="63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139"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r>
      <w:tr w:rsidR="008E317A" w:rsidRPr="008E317A" w:rsidTr="008E317A">
        <w:trPr>
          <w:trHeight w:val="499"/>
        </w:trPr>
        <w:tc>
          <w:tcPr>
            <w:tcW w:w="455"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right"/>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11</w:t>
            </w:r>
          </w:p>
        </w:tc>
        <w:tc>
          <w:tcPr>
            <w:tcW w:w="2011"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Уплотнительное кольцо для шприца реагентов</w:t>
            </w:r>
          </w:p>
        </w:tc>
        <w:tc>
          <w:tcPr>
            <w:tcW w:w="1363"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32.50.50.190</w:t>
            </w:r>
          </w:p>
        </w:tc>
        <w:tc>
          <w:tcPr>
            <w:tcW w:w="1445"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Назначение</w:t>
            </w: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Предназначено для уплотнения в поршне шприца реагентов</w:t>
            </w:r>
          </w:p>
        </w:tc>
        <w:tc>
          <w:tcPr>
            <w:tcW w:w="1017"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w:t>
            </w:r>
          </w:p>
        </w:tc>
        <w:tc>
          <w:tcPr>
            <w:tcW w:w="146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Значение характеристики не может изменяться участником закупки</w:t>
            </w:r>
          </w:p>
        </w:tc>
        <w:tc>
          <w:tcPr>
            <w:tcW w:w="63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jc w:val="right"/>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1</w:t>
            </w:r>
          </w:p>
        </w:tc>
        <w:tc>
          <w:tcPr>
            <w:tcW w:w="1139"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упак</w:t>
            </w:r>
          </w:p>
        </w:tc>
        <w:tc>
          <w:tcPr>
            <w:tcW w:w="1387"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445"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фасовка</w:t>
            </w: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не менее 1 шт/упак</w:t>
            </w:r>
          </w:p>
        </w:tc>
        <w:tc>
          <w:tcPr>
            <w:tcW w:w="1017"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w:t>
            </w:r>
          </w:p>
        </w:tc>
        <w:tc>
          <w:tcPr>
            <w:tcW w:w="146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Участник закупки указывает в заявке конкретное значение характеристики</w:t>
            </w:r>
          </w:p>
        </w:tc>
        <w:tc>
          <w:tcPr>
            <w:tcW w:w="63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1139"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r>
      <w:tr w:rsidR="008E317A" w:rsidRPr="008E317A" w:rsidTr="008E317A">
        <w:trPr>
          <w:trHeight w:val="499"/>
        </w:trPr>
        <w:tc>
          <w:tcPr>
            <w:tcW w:w="455"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2011"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363"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1445"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Совместимость</w:t>
            </w:r>
          </w:p>
        </w:tc>
        <w:tc>
          <w:tcPr>
            <w:tcW w:w="2210"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Совместим с автоматическим биохимическим анализатором ARCHITECT с4000 имеющимся у заказчика, не вызывает сбоев в работе анализатора, не снижает достоверность результатов исследований</w:t>
            </w:r>
          </w:p>
        </w:tc>
        <w:tc>
          <w:tcPr>
            <w:tcW w:w="1017"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w:t>
            </w:r>
          </w:p>
        </w:tc>
        <w:tc>
          <w:tcPr>
            <w:tcW w:w="146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20"/>
                <w:szCs w:val="20"/>
                <w:u w:val="single"/>
                <w:lang w:eastAsia="ru-RU"/>
              </w:rPr>
            </w:pPr>
            <w:r w:rsidRPr="008E317A">
              <w:rPr>
                <w:rFonts w:ascii="Times New Roman" w:eastAsia="Times New Roman" w:hAnsi="Times New Roman" w:cs="Times New Roman"/>
                <w:color w:val="000000"/>
                <w:sz w:val="20"/>
                <w:szCs w:val="20"/>
                <w:u w:val="single"/>
                <w:lang w:eastAsia="ru-RU"/>
              </w:rPr>
              <w:t>Значение характеристики не может изменяться участником закупки</w:t>
            </w:r>
          </w:p>
        </w:tc>
        <w:tc>
          <w:tcPr>
            <w:tcW w:w="633"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1139" w:type="dxa"/>
            <w:tcBorders>
              <w:top w:val="nil"/>
              <w:left w:val="nil"/>
              <w:bottom w:val="single" w:sz="4" w:space="0" w:color="auto"/>
              <w:right w:val="single" w:sz="4" w:space="0" w:color="auto"/>
            </w:tcBorders>
            <w:shd w:val="clear" w:color="auto" w:fill="auto"/>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r w:rsidRPr="008E317A">
              <w:rPr>
                <w:rFonts w:ascii="Times New Roman" w:eastAsia="Times New Roman" w:hAnsi="Times New Roman" w:cs="Times New Roman"/>
                <w:color w:val="000000"/>
                <w:sz w:val="18"/>
                <w:szCs w:val="18"/>
                <w:lang w:eastAsia="ru-RU"/>
              </w:rPr>
              <w:t> </w:t>
            </w:r>
          </w:p>
        </w:tc>
        <w:tc>
          <w:tcPr>
            <w:tcW w:w="1387"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c>
          <w:tcPr>
            <w:tcW w:w="906" w:type="dxa"/>
            <w:vMerge/>
            <w:tcBorders>
              <w:top w:val="nil"/>
              <w:left w:val="single" w:sz="4" w:space="0" w:color="auto"/>
              <w:bottom w:val="single" w:sz="4" w:space="0" w:color="auto"/>
              <w:right w:val="single" w:sz="4" w:space="0" w:color="auto"/>
            </w:tcBorders>
            <w:vAlign w:val="center"/>
            <w:hideMark/>
          </w:tcPr>
          <w:p w:rsidR="008E317A" w:rsidRPr="008E317A" w:rsidRDefault="008E317A" w:rsidP="008E317A">
            <w:pPr>
              <w:spacing w:after="0" w:line="240" w:lineRule="auto"/>
              <w:rPr>
                <w:rFonts w:ascii="Times New Roman" w:eastAsia="Times New Roman" w:hAnsi="Times New Roman" w:cs="Times New Roman"/>
                <w:color w:val="000000"/>
                <w:sz w:val="18"/>
                <w:szCs w:val="18"/>
                <w:lang w:eastAsia="ru-RU"/>
              </w:rPr>
            </w:pPr>
          </w:p>
        </w:tc>
      </w:tr>
    </w:tbl>
    <w:p w:rsidR="008E317A" w:rsidRDefault="008E317A" w:rsidP="008E317A">
      <w:pPr>
        <w:autoSpaceDE w:val="0"/>
        <w:autoSpaceDN w:val="0"/>
        <w:adjustRightInd w:val="0"/>
        <w:rPr>
          <w:rFonts w:ascii="Times New Roman CYR" w:hAnsi="Times New Roman CYR" w:cs="Times New Roman CYR"/>
          <w:b/>
          <w:bCs/>
        </w:rPr>
      </w:pPr>
      <w:r>
        <w:rPr>
          <w:rFonts w:ascii="Times New Roman CYR" w:hAnsi="Times New Roman CYR" w:cs="Times New Roman CYR"/>
          <w:b/>
          <w:bCs/>
        </w:rPr>
        <w:t>*Дополнительные характеристики определены Заказчиком в соответствии с его потребностями, с учетом специфики деятельности, для обеспечения оказания эффективной медицинской помощи, безопасности пациентов при выполнении медицинских вмешательств, предотвращения аллергических реакций и контаминации патогенами, выполнения требований санэпидрежима.</w:t>
      </w:r>
    </w:p>
    <w:p w:rsidR="008E317A" w:rsidRPr="00D65B3B" w:rsidRDefault="008E317A" w:rsidP="008E317A">
      <w:pPr>
        <w:autoSpaceDE w:val="0"/>
        <w:autoSpaceDN w:val="0"/>
        <w:adjustRightInd w:val="0"/>
        <w:spacing w:after="0" w:line="240" w:lineRule="auto"/>
        <w:jc w:val="both"/>
        <w:rPr>
          <w:rFonts w:ascii="Times New Roman" w:eastAsia="Times New Roman" w:hAnsi="Times New Roman" w:cs="Times New Roman"/>
          <w:b/>
          <w:bCs/>
          <w:i/>
          <w:color w:val="000000"/>
          <w:lang w:eastAsia="ru-RU"/>
        </w:rPr>
      </w:pPr>
      <w:r w:rsidRPr="00D65B3B">
        <w:rPr>
          <w:rFonts w:ascii="Times New Roman" w:eastAsia="Times New Roman" w:hAnsi="Times New Roman" w:cs="Times New Roman"/>
          <w:b/>
          <w:bCs/>
          <w:i/>
          <w:color w:val="000000"/>
          <w:lang w:eastAsia="ru-RU"/>
        </w:rPr>
        <w:t>Требования к исполнению контракта в части исключения рисков претензий правообладателей к Заказчику по всем Товарам:</w:t>
      </w:r>
    </w:p>
    <w:p w:rsidR="008E317A" w:rsidRPr="00D65B3B" w:rsidRDefault="008E317A" w:rsidP="008E317A">
      <w:pPr>
        <w:autoSpaceDE w:val="0"/>
        <w:autoSpaceDN w:val="0"/>
        <w:adjustRightInd w:val="0"/>
        <w:spacing w:after="0" w:line="240" w:lineRule="auto"/>
        <w:jc w:val="both"/>
        <w:rPr>
          <w:rFonts w:ascii="Times New Roman" w:eastAsia="Times New Roman" w:hAnsi="Times New Roman" w:cs="Times New Roman"/>
          <w:b/>
          <w:bCs/>
          <w:i/>
          <w:color w:val="000000"/>
          <w:lang w:eastAsia="ru-RU"/>
        </w:rPr>
      </w:pPr>
      <w:r w:rsidRPr="00D65B3B">
        <w:rPr>
          <w:rFonts w:ascii="Times New Roman" w:eastAsia="Times New Roman" w:hAnsi="Times New Roman" w:cs="Times New Roman"/>
          <w:b/>
          <w:bCs/>
          <w:i/>
          <w:color w:val="000000"/>
          <w:lang w:eastAsia="ru-RU"/>
        </w:rPr>
        <w:t xml:space="preserve"> Наличие письменного согласия правообладателя товарного знака поставляемого товара на его ввоз и использование на территории Российской Федерации, включая реализацию медицинских изделий, с указанием:</w:t>
      </w:r>
    </w:p>
    <w:p w:rsidR="008E317A" w:rsidRPr="00D65B3B" w:rsidRDefault="008E317A" w:rsidP="008E317A">
      <w:pPr>
        <w:autoSpaceDE w:val="0"/>
        <w:autoSpaceDN w:val="0"/>
        <w:adjustRightInd w:val="0"/>
        <w:spacing w:after="0" w:line="240" w:lineRule="auto"/>
        <w:jc w:val="both"/>
        <w:rPr>
          <w:rFonts w:ascii="Times New Roman" w:eastAsia="Times New Roman" w:hAnsi="Times New Roman" w:cs="Times New Roman"/>
          <w:b/>
          <w:bCs/>
          <w:i/>
          <w:color w:val="000000"/>
          <w:lang w:eastAsia="ru-RU"/>
        </w:rPr>
      </w:pPr>
      <w:r w:rsidRPr="00D65B3B">
        <w:rPr>
          <w:rFonts w:ascii="Times New Roman" w:eastAsia="Times New Roman" w:hAnsi="Times New Roman" w:cs="Times New Roman"/>
          <w:b/>
          <w:bCs/>
          <w:i/>
          <w:color w:val="000000"/>
          <w:lang w:eastAsia="ru-RU"/>
        </w:rPr>
        <w:t>•наименования и реквизитов правообладателя;</w:t>
      </w:r>
    </w:p>
    <w:p w:rsidR="008E317A" w:rsidRPr="00D65B3B" w:rsidRDefault="008E317A" w:rsidP="008E317A">
      <w:pPr>
        <w:autoSpaceDE w:val="0"/>
        <w:autoSpaceDN w:val="0"/>
        <w:adjustRightInd w:val="0"/>
        <w:spacing w:after="0" w:line="240" w:lineRule="auto"/>
        <w:jc w:val="both"/>
        <w:rPr>
          <w:rFonts w:ascii="Times New Roman" w:eastAsia="Times New Roman" w:hAnsi="Times New Roman" w:cs="Times New Roman"/>
          <w:b/>
          <w:bCs/>
          <w:i/>
          <w:lang w:eastAsia="ru-RU"/>
        </w:rPr>
      </w:pPr>
      <w:r w:rsidRPr="00D65B3B">
        <w:rPr>
          <w:rFonts w:ascii="Times New Roman" w:eastAsia="Times New Roman" w:hAnsi="Times New Roman" w:cs="Times New Roman"/>
          <w:b/>
          <w:bCs/>
          <w:i/>
          <w:lang w:eastAsia="ru-RU"/>
        </w:rPr>
        <w:t>•наименования и реквизитов лица, получившего согласие правообладателя на ввоз и использование на территории Российской Федерации и копию такого согласия;</w:t>
      </w:r>
    </w:p>
    <w:p w:rsidR="008E317A" w:rsidRPr="00D65B3B" w:rsidRDefault="008E317A" w:rsidP="008E317A">
      <w:pPr>
        <w:autoSpaceDE w:val="0"/>
        <w:autoSpaceDN w:val="0"/>
        <w:adjustRightInd w:val="0"/>
        <w:spacing w:after="0" w:line="240" w:lineRule="auto"/>
        <w:jc w:val="both"/>
        <w:rPr>
          <w:rFonts w:ascii="Times New Roman" w:eastAsia="Times New Roman" w:hAnsi="Times New Roman" w:cs="Times New Roman"/>
          <w:b/>
          <w:bCs/>
          <w:i/>
          <w:color w:val="000000"/>
          <w:lang w:eastAsia="ru-RU"/>
        </w:rPr>
      </w:pPr>
      <w:r w:rsidRPr="00D65B3B">
        <w:rPr>
          <w:rFonts w:ascii="Times New Roman" w:eastAsia="Times New Roman" w:hAnsi="Times New Roman" w:cs="Times New Roman"/>
          <w:b/>
          <w:bCs/>
          <w:i/>
          <w:color w:val="000000"/>
          <w:lang w:eastAsia="ru-RU"/>
        </w:rPr>
        <w:t>•перечня товаров, на которые распространяется согласие;</w:t>
      </w:r>
    </w:p>
    <w:p w:rsidR="008E317A" w:rsidRPr="00D65B3B" w:rsidRDefault="008E317A" w:rsidP="008E317A">
      <w:pPr>
        <w:autoSpaceDE w:val="0"/>
        <w:autoSpaceDN w:val="0"/>
        <w:adjustRightInd w:val="0"/>
        <w:spacing w:after="0" w:line="240" w:lineRule="auto"/>
        <w:jc w:val="both"/>
        <w:rPr>
          <w:rFonts w:ascii="Times New Roman" w:eastAsia="Times New Roman" w:hAnsi="Times New Roman" w:cs="Times New Roman"/>
          <w:b/>
          <w:bCs/>
          <w:i/>
          <w:color w:val="000000"/>
          <w:lang w:eastAsia="ru-RU"/>
        </w:rPr>
      </w:pPr>
      <w:r w:rsidRPr="00D65B3B">
        <w:rPr>
          <w:rFonts w:ascii="Times New Roman" w:eastAsia="Times New Roman" w:hAnsi="Times New Roman" w:cs="Times New Roman"/>
          <w:b/>
          <w:bCs/>
          <w:i/>
          <w:color w:val="000000"/>
          <w:lang w:eastAsia="ru-RU"/>
        </w:rPr>
        <w:t>•</w:t>
      </w:r>
      <w:r w:rsidRPr="00D65B3B">
        <w:rPr>
          <w:rFonts w:ascii="Times New Roman" w:eastAsia="Calibri" w:hAnsi="Times New Roman" w:cs="Times New Roman"/>
          <w:b/>
          <w:i/>
        </w:rPr>
        <w:t xml:space="preserve"> цепочки договоров от Поставщика до правообладателя или официального дистрибьютора правообладателя, подтверждающую оригинальность товаров;</w:t>
      </w:r>
    </w:p>
    <w:p w:rsidR="008E317A" w:rsidRPr="00D65B3B" w:rsidRDefault="008E317A" w:rsidP="008E317A">
      <w:pPr>
        <w:autoSpaceDE w:val="0"/>
        <w:autoSpaceDN w:val="0"/>
        <w:adjustRightInd w:val="0"/>
        <w:spacing w:after="0" w:line="240" w:lineRule="auto"/>
        <w:jc w:val="both"/>
        <w:rPr>
          <w:rFonts w:ascii="Times New Roman" w:eastAsia="Times New Roman" w:hAnsi="Times New Roman" w:cs="Times New Roman"/>
          <w:b/>
          <w:bCs/>
          <w:i/>
          <w:color w:val="000000"/>
          <w:lang w:eastAsia="ru-RU"/>
        </w:rPr>
      </w:pPr>
      <w:r w:rsidRPr="00D65B3B">
        <w:rPr>
          <w:rFonts w:ascii="Times New Roman" w:eastAsia="Times New Roman" w:hAnsi="Times New Roman" w:cs="Times New Roman"/>
          <w:b/>
          <w:bCs/>
          <w:i/>
          <w:color w:val="000000"/>
          <w:lang w:eastAsia="ru-RU"/>
        </w:rPr>
        <w:t>•территории, на которой допускается использование товарного знака;</w:t>
      </w:r>
    </w:p>
    <w:p w:rsidR="008E317A" w:rsidRPr="00D65B3B" w:rsidRDefault="008E317A" w:rsidP="008E317A">
      <w:pPr>
        <w:autoSpaceDE w:val="0"/>
        <w:autoSpaceDN w:val="0"/>
        <w:adjustRightInd w:val="0"/>
        <w:spacing w:after="0" w:line="240" w:lineRule="auto"/>
        <w:jc w:val="both"/>
        <w:rPr>
          <w:rFonts w:ascii="Times New Roman" w:eastAsia="Times New Roman" w:hAnsi="Times New Roman" w:cs="Times New Roman"/>
          <w:b/>
          <w:bCs/>
          <w:i/>
          <w:color w:val="000000"/>
          <w:lang w:eastAsia="ru-RU"/>
        </w:rPr>
      </w:pPr>
      <w:r w:rsidRPr="00D65B3B">
        <w:rPr>
          <w:rFonts w:ascii="Times New Roman" w:eastAsia="Times New Roman" w:hAnsi="Times New Roman" w:cs="Times New Roman"/>
          <w:b/>
          <w:bCs/>
          <w:i/>
          <w:color w:val="000000"/>
          <w:lang w:eastAsia="ru-RU"/>
        </w:rPr>
        <w:t>•срока действия согласия.</w:t>
      </w:r>
    </w:p>
    <w:p w:rsidR="00170252" w:rsidRDefault="00170252" w:rsidP="000820E3">
      <w:pPr>
        <w:rPr>
          <w:rFonts w:ascii="Times New Roman" w:hAnsi="Times New Roman" w:cs="Times New Roman"/>
          <w:b/>
          <w:sz w:val="28"/>
          <w:szCs w:val="28"/>
        </w:rPr>
      </w:pPr>
    </w:p>
    <w:sectPr w:rsidR="00170252" w:rsidSect="008E317A">
      <w:headerReference w:type="first" r:id="rId20"/>
      <w:footerReference w:type="first" r:id="rId21"/>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2A1A" w:rsidRDefault="00472A1A">
      <w:pPr>
        <w:spacing w:after="0" w:line="240" w:lineRule="auto"/>
      </w:pPr>
      <w:r>
        <w:separator/>
      </w:r>
    </w:p>
  </w:endnote>
  <w:endnote w:type="continuationSeparator" w:id="0">
    <w:p w:rsidR="00472A1A" w:rsidRDefault="00472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Times New Roman CYR">
    <w:panose1 w:val="02020603050405020304"/>
    <w:charset w:val="CC"/>
    <w:family w:val="roman"/>
    <w:pitch w:val="variable"/>
    <w:sig w:usb0="E0002EFF" w:usb1="C0007843"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036DC" w:rsidRDefault="002036DC">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2036DC">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2036DC">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2036DC">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2036DC">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2036DC">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8E317A">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2A1A" w:rsidRDefault="00472A1A">
      <w:pPr>
        <w:spacing w:after="0" w:line="240" w:lineRule="auto"/>
      </w:pPr>
      <w:r>
        <w:separator/>
      </w:r>
    </w:p>
  </w:footnote>
  <w:footnote w:type="continuationSeparator" w:id="0">
    <w:p w:rsidR="00472A1A" w:rsidRDefault="00472A1A">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036DC" w:rsidRDefault="002036DC">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036DC" w:rsidRDefault="002036DC">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036DC" w:rsidRDefault="002036DC">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36D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A1A"/>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317A"/>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7712412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zakupki.gov.ru/epz/ktru/ktruCard/ktru-description.html?itemId=32.50.50.190-00003059&amp;backUrl=" TargetMode="Externa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zakupki.gov.ru/epz/ktru/ktruCard/ktru-description.html?itemId=32.50.50.190-00003059&amp;backUrl=" TargetMode="Externa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BF465-D760-498D-AD81-9783199BE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2102</Words>
  <Characters>11987</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2026-09-16T06:51:00Z</dcterms:created>
  <dcterms:modified xsi:type="dcterms:W3CDTF">2026-09-16T06:51:00Z</dcterms:modified>
</cp:coreProperties>
</file>