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045444E" wp14:editId="7C5A0560">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22.06.2022 № 21.1-03/901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F0AA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сушилок для рук и пылесоса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Приказ Минфина России от 04.06.2018 г. № 126н</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C19C2">
          <w:headerReference w:type="first" r:id="rId17"/>
          <w:footerReference w:type="first" r:id="rId18"/>
          <w:pgSz w:w="16838" w:h="11906" w:orient="landscape"/>
          <w:pgMar w:top="568" w:right="567" w:bottom="1135"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262F4E" w:rsidRPr="000437D6" w:rsidRDefault="00262F4E" w:rsidP="00E52880">
      <w:pPr>
        <w:pStyle w:val="a7"/>
        <w:widowControl w:val="0"/>
        <w:spacing w:after="0"/>
        <w:ind w:left="644"/>
        <w:jc w:val="center"/>
        <w:rPr>
          <w:rFonts w:ascii="Times New Roman" w:eastAsia="Courier New" w:hAnsi="Times New Roman" w:cs="Times New Roman"/>
          <w:b/>
        </w:rPr>
      </w:pPr>
    </w:p>
    <w:tbl>
      <w:tblPr>
        <w:tblStyle w:val="ad"/>
        <w:tblW w:w="15734" w:type="dxa"/>
        <w:tblInd w:w="250" w:type="dxa"/>
        <w:tblLayout w:type="fixed"/>
        <w:tblLook w:val="04A0" w:firstRow="1" w:lastRow="0" w:firstColumn="1" w:lastColumn="0" w:noHBand="0" w:noVBand="1"/>
      </w:tblPr>
      <w:tblGrid>
        <w:gridCol w:w="425"/>
        <w:gridCol w:w="1843"/>
        <w:gridCol w:w="5245"/>
        <w:gridCol w:w="851"/>
        <w:gridCol w:w="708"/>
        <w:gridCol w:w="1418"/>
        <w:gridCol w:w="992"/>
        <w:gridCol w:w="992"/>
        <w:gridCol w:w="992"/>
        <w:gridCol w:w="1134"/>
        <w:gridCol w:w="1134"/>
      </w:tblGrid>
      <w:tr w:rsidR="00262F4E" w:rsidRPr="00F7111B" w:rsidTr="00262F4E">
        <w:trPr>
          <w:trHeight w:val="20"/>
        </w:trPr>
        <w:tc>
          <w:tcPr>
            <w:tcW w:w="425" w:type="dxa"/>
          </w:tcPr>
          <w:p w:rsidR="00262F4E" w:rsidRPr="00570343" w:rsidRDefault="00262F4E" w:rsidP="008A6C9F">
            <w:pPr>
              <w:jc w:val="center"/>
              <w:rPr>
                <w:rFonts w:ascii="Times New Roman" w:hAnsi="Times New Roman"/>
              </w:rPr>
            </w:pPr>
            <w:r w:rsidRPr="00570343">
              <w:rPr>
                <w:rFonts w:ascii="Times New Roman" w:hAnsi="Times New Roman"/>
              </w:rPr>
              <w:t>№</w:t>
            </w:r>
          </w:p>
        </w:tc>
        <w:tc>
          <w:tcPr>
            <w:tcW w:w="1843" w:type="dxa"/>
          </w:tcPr>
          <w:p w:rsidR="00262F4E" w:rsidRPr="00570343" w:rsidRDefault="00262F4E" w:rsidP="008A6C9F">
            <w:pPr>
              <w:jc w:val="center"/>
              <w:rPr>
                <w:rFonts w:ascii="Times New Roman" w:hAnsi="Times New Roman"/>
              </w:rPr>
            </w:pPr>
            <w:r w:rsidRPr="00570343">
              <w:rPr>
                <w:rFonts w:ascii="Times New Roman" w:hAnsi="Times New Roman"/>
              </w:rPr>
              <w:t>Наименование</w:t>
            </w:r>
          </w:p>
        </w:tc>
        <w:tc>
          <w:tcPr>
            <w:tcW w:w="5245" w:type="dxa"/>
          </w:tcPr>
          <w:p w:rsidR="00262F4E" w:rsidRPr="00570343" w:rsidRDefault="00262F4E" w:rsidP="008A6C9F">
            <w:pPr>
              <w:jc w:val="center"/>
              <w:rPr>
                <w:rFonts w:ascii="Times New Roman" w:hAnsi="Times New Roman"/>
              </w:rPr>
            </w:pPr>
            <w:r w:rsidRPr="00570343">
              <w:rPr>
                <w:rFonts w:ascii="Times New Roman" w:hAnsi="Times New Roman"/>
              </w:rPr>
              <w:t>Технические характеристики</w:t>
            </w:r>
            <w:r>
              <w:rPr>
                <w:rFonts w:ascii="Times New Roman" w:hAnsi="Times New Roman"/>
              </w:rPr>
              <w:t xml:space="preserve"> </w:t>
            </w:r>
            <w:r w:rsidRPr="00553554">
              <w:rPr>
                <w:rFonts w:ascii="Times New Roman" w:hAnsi="Times New Roman"/>
              </w:rPr>
              <w:t>и параметры эквивалентности</w:t>
            </w:r>
          </w:p>
        </w:tc>
        <w:tc>
          <w:tcPr>
            <w:tcW w:w="851" w:type="dxa"/>
          </w:tcPr>
          <w:p w:rsidR="00262F4E" w:rsidRPr="00570343" w:rsidRDefault="00262F4E" w:rsidP="008A6C9F">
            <w:pPr>
              <w:jc w:val="center"/>
              <w:rPr>
                <w:rFonts w:ascii="Times New Roman" w:hAnsi="Times New Roman"/>
              </w:rPr>
            </w:pPr>
            <w:r w:rsidRPr="00570343">
              <w:rPr>
                <w:rFonts w:ascii="Times New Roman" w:hAnsi="Times New Roman"/>
              </w:rPr>
              <w:t>Ед. изм.</w:t>
            </w:r>
          </w:p>
        </w:tc>
        <w:tc>
          <w:tcPr>
            <w:tcW w:w="708" w:type="dxa"/>
          </w:tcPr>
          <w:p w:rsidR="00262F4E" w:rsidRPr="00570343" w:rsidRDefault="00262F4E" w:rsidP="008A6C9F">
            <w:pPr>
              <w:jc w:val="center"/>
              <w:rPr>
                <w:rFonts w:ascii="Times New Roman" w:hAnsi="Times New Roman"/>
              </w:rPr>
            </w:pPr>
            <w:r w:rsidRPr="00570343">
              <w:rPr>
                <w:rFonts w:ascii="Times New Roman" w:hAnsi="Times New Roman"/>
              </w:rPr>
              <w:t>Кол-во</w:t>
            </w:r>
          </w:p>
        </w:tc>
        <w:tc>
          <w:tcPr>
            <w:tcW w:w="1418" w:type="dxa"/>
          </w:tcPr>
          <w:p w:rsidR="00262F4E" w:rsidRPr="00570343" w:rsidRDefault="00262F4E" w:rsidP="008A6C9F">
            <w:pPr>
              <w:jc w:val="center"/>
              <w:rPr>
                <w:rFonts w:ascii="Times New Roman" w:hAnsi="Times New Roman"/>
              </w:rPr>
            </w:pPr>
            <w:r w:rsidRPr="00570343">
              <w:rPr>
                <w:rFonts w:ascii="Times New Roman" w:hAnsi="Times New Roman"/>
              </w:rPr>
              <w:t>ОКПД/</w:t>
            </w:r>
          </w:p>
          <w:p w:rsidR="00262F4E" w:rsidRPr="00570343" w:rsidRDefault="00262F4E" w:rsidP="008A6C9F">
            <w:pPr>
              <w:jc w:val="center"/>
              <w:rPr>
                <w:rFonts w:ascii="Times New Roman" w:hAnsi="Times New Roman"/>
              </w:rPr>
            </w:pPr>
            <w:r w:rsidRPr="00570343">
              <w:rPr>
                <w:rFonts w:ascii="Times New Roman" w:hAnsi="Times New Roman"/>
              </w:rPr>
              <w:t>КТРУ</w:t>
            </w:r>
          </w:p>
        </w:tc>
        <w:tc>
          <w:tcPr>
            <w:tcW w:w="992" w:type="dxa"/>
            <w:shd w:val="clear" w:color="auto" w:fill="FFFF00"/>
          </w:tcPr>
          <w:p w:rsidR="00262F4E" w:rsidRPr="00F7111B" w:rsidRDefault="00262F4E" w:rsidP="008A6C9F">
            <w:pPr>
              <w:jc w:val="center"/>
              <w:rPr>
                <w:rFonts w:ascii="Times New Roman" w:hAnsi="Times New Roman"/>
              </w:rPr>
            </w:pPr>
            <w:r w:rsidRPr="00F7111B">
              <w:rPr>
                <w:rFonts w:ascii="Times New Roman" w:hAnsi="Times New Roman"/>
              </w:rPr>
              <w:t>Страна происхождения</w:t>
            </w:r>
          </w:p>
        </w:tc>
        <w:tc>
          <w:tcPr>
            <w:tcW w:w="992" w:type="dxa"/>
            <w:shd w:val="clear" w:color="auto" w:fill="FFFF00"/>
          </w:tcPr>
          <w:p w:rsidR="00262F4E" w:rsidRPr="00F7111B" w:rsidRDefault="00262F4E" w:rsidP="008A6C9F">
            <w:pPr>
              <w:jc w:val="center"/>
              <w:rPr>
                <w:rFonts w:ascii="Times New Roman" w:hAnsi="Times New Roman"/>
              </w:rPr>
            </w:pPr>
            <w:r w:rsidRPr="00F7111B">
              <w:rPr>
                <w:rFonts w:ascii="Times New Roman" w:hAnsi="Times New Roman"/>
              </w:rPr>
              <w:t>Ставка НДС (%)</w:t>
            </w:r>
          </w:p>
        </w:tc>
        <w:tc>
          <w:tcPr>
            <w:tcW w:w="992" w:type="dxa"/>
            <w:shd w:val="clear" w:color="auto" w:fill="FFFF00"/>
          </w:tcPr>
          <w:p w:rsidR="00262F4E" w:rsidRPr="00F7111B" w:rsidRDefault="00262F4E" w:rsidP="008A6C9F">
            <w:pPr>
              <w:jc w:val="center"/>
              <w:rPr>
                <w:rFonts w:ascii="Times New Roman" w:hAnsi="Times New Roman"/>
              </w:rPr>
            </w:pPr>
            <w:r w:rsidRPr="00F7111B">
              <w:rPr>
                <w:rFonts w:ascii="Times New Roman" w:hAnsi="Times New Roman"/>
              </w:rPr>
              <w:t>Сумма НДС (руб.)</w:t>
            </w:r>
          </w:p>
        </w:tc>
        <w:tc>
          <w:tcPr>
            <w:tcW w:w="1134" w:type="dxa"/>
            <w:shd w:val="clear" w:color="auto" w:fill="FFFF00"/>
          </w:tcPr>
          <w:p w:rsidR="00262F4E" w:rsidRPr="00F7111B" w:rsidRDefault="00262F4E" w:rsidP="008A6C9F">
            <w:pPr>
              <w:jc w:val="center"/>
              <w:rPr>
                <w:rFonts w:ascii="Times New Roman" w:hAnsi="Times New Roman"/>
              </w:rPr>
            </w:pPr>
            <w:r w:rsidRPr="00F7111B">
              <w:rPr>
                <w:rFonts w:ascii="Times New Roman" w:hAnsi="Times New Roman"/>
              </w:rPr>
              <w:t>Цена за ед. (руб.)</w:t>
            </w:r>
          </w:p>
        </w:tc>
        <w:tc>
          <w:tcPr>
            <w:tcW w:w="1134" w:type="dxa"/>
            <w:shd w:val="clear" w:color="auto" w:fill="FFFF00"/>
          </w:tcPr>
          <w:p w:rsidR="00262F4E" w:rsidRPr="00F7111B" w:rsidRDefault="00262F4E" w:rsidP="008A6C9F">
            <w:pPr>
              <w:jc w:val="center"/>
              <w:rPr>
                <w:rFonts w:ascii="Times New Roman" w:hAnsi="Times New Roman"/>
              </w:rPr>
            </w:pPr>
            <w:r w:rsidRPr="00F7111B">
              <w:rPr>
                <w:rFonts w:ascii="Times New Roman" w:hAnsi="Times New Roman"/>
              </w:rPr>
              <w:t>Сумма (руб.)</w:t>
            </w:r>
          </w:p>
        </w:tc>
      </w:tr>
      <w:tr w:rsidR="00262F4E" w:rsidRPr="00F7111B" w:rsidTr="00317ED9">
        <w:trPr>
          <w:trHeight w:val="2722"/>
        </w:trPr>
        <w:tc>
          <w:tcPr>
            <w:tcW w:w="425" w:type="dxa"/>
          </w:tcPr>
          <w:p w:rsidR="00262F4E" w:rsidRPr="007C2872" w:rsidRDefault="00262F4E" w:rsidP="00262F4E">
            <w:pPr>
              <w:pStyle w:val="a7"/>
              <w:numPr>
                <w:ilvl w:val="0"/>
                <w:numId w:val="21"/>
              </w:numPr>
              <w:rPr>
                <w:rFonts w:ascii="Times New Roman" w:hAnsi="Times New Roman"/>
              </w:rPr>
            </w:pPr>
          </w:p>
        </w:tc>
        <w:tc>
          <w:tcPr>
            <w:tcW w:w="1843" w:type="dxa"/>
          </w:tcPr>
          <w:p w:rsidR="00262F4E" w:rsidRPr="00553554" w:rsidRDefault="00262F4E" w:rsidP="008A6C9F">
            <w:pPr>
              <w:rPr>
                <w:rFonts w:ascii="Times New Roman" w:hAnsi="Times New Roman"/>
              </w:rPr>
            </w:pPr>
            <w:r w:rsidRPr="00DA58BC">
              <w:rPr>
                <w:rFonts w:ascii="Times New Roman" w:hAnsi="Times New Roman"/>
              </w:rPr>
              <w:t>Сушилка для рук</w:t>
            </w:r>
          </w:p>
        </w:tc>
        <w:tc>
          <w:tcPr>
            <w:tcW w:w="5245" w:type="dxa"/>
          </w:tcPr>
          <w:p w:rsidR="00317ED9" w:rsidRDefault="00317ED9" w:rsidP="00317ED9">
            <w:pPr>
              <w:ind w:right="4"/>
              <w:jc w:val="both"/>
              <w:rPr>
                <w:rFonts w:ascii="Times New Roman" w:hAnsi="Times New Roman"/>
              </w:rPr>
            </w:pPr>
            <w:r w:rsidRPr="00DA58BC">
              <w:rPr>
                <w:rFonts w:ascii="Times New Roman" w:hAnsi="Times New Roman"/>
              </w:rPr>
              <w:t>Сушилка для рук</w:t>
            </w:r>
            <w:r>
              <w:rPr>
                <w:rFonts w:ascii="Times New Roman" w:hAnsi="Times New Roman"/>
              </w:rPr>
              <w:t xml:space="preserve"> Faura FHD-1000 (или эквивалент):</w:t>
            </w:r>
          </w:p>
          <w:p w:rsidR="00317ED9" w:rsidRDefault="00317ED9" w:rsidP="00317ED9">
            <w:pPr>
              <w:ind w:right="4"/>
              <w:jc w:val="both"/>
              <w:rPr>
                <w:rFonts w:ascii="Times New Roman" w:hAnsi="Times New Roman"/>
              </w:rPr>
            </w:pPr>
          </w:p>
          <w:p w:rsidR="00317ED9" w:rsidRDefault="00317ED9" w:rsidP="00317ED9">
            <w:pPr>
              <w:ind w:right="4"/>
              <w:jc w:val="both"/>
              <w:rPr>
                <w:rFonts w:ascii="Times New Roman" w:hAnsi="Times New Roman"/>
              </w:rPr>
            </w:pPr>
            <w:r>
              <w:rPr>
                <w:rFonts w:ascii="Times New Roman" w:hAnsi="Times New Roman"/>
              </w:rPr>
              <w:t>Тип установки: настенный</w:t>
            </w:r>
          </w:p>
          <w:p w:rsidR="00317ED9" w:rsidRDefault="00317ED9" w:rsidP="00317ED9">
            <w:pPr>
              <w:shd w:val="clear" w:color="auto" w:fill="FFFFFF"/>
              <w:spacing w:line="300" w:lineRule="atLeast"/>
              <w:ind w:right="4"/>
              <w:textAlignment w:val="baseline"/>
              <w:rPr>
                <w:rFonts w:ascii="Times New Roman" w:hAnsi="Times New Roman"/>
              </w:rPr>
            </w:pPr>
            <w:r w:rsidRPr="002A0004">
              <w:rPr>
                <w:rFonts w:ascii="Times New Roman" w:hAnsi="Times New Roman"/>
              </w:rPr>
              <w:t>Класс энергоэффективности:</w:t>
            </w:r>
            <w:r>
              <w:rPr>
                <w:rFonts w:ascii="Times New Roman" w:hAnsi="Times New Roman"/>
              </w:rPr>
              <w:t xml:space="preserve"> </w:t>
            </w:r>
            <w:r w:rsidRPr="002A0004">
              <w:rPr>
                <w:rFonts w:ascii="Times New Roman" w:hAnsi="Times New Roman"/>
              </w:rPr>
              <w:t>не ниже</w:t>
            </w:r>
            <w:r>
              <w:rPr>
                <w:rFonts w:ascii="Times New Roman" w:hAnsi="Times New Roman"/>
              </w:rPr>
              <w:t> B</w:t>
            </w:r>
          </w:p>
          <w:p w:rsidR="00317ED9" w:rsidRDefault="00317ED9" w:rsidP="00317ED9">
            <w:pPr>
              <w:ind w:right="4"/>
              <w:jc w:val="both"/>
              <w:rPr>
                <w:rFonts w:ascii="Times New Roman" w:hAnsi="Times New Roman"/>
              </w:rPr>
            </w:pPr>
            <w:r>
              <w:rPr>
                <w:rFonts w:ascii="Times New Roman" w:hAnsi="Times New Roman"/>
              </w:rPr>
              <w:t>Скорость воздушного потока: не менее 84 м/с</w:t>
            </w:r>
          </w:p>
          <w:p w:rsidR="00317ED9" w:rsidRDefault="00317ED9" w:rsidP="00317ED9">
            <w:pPr>
              <w:ind w:right="4"/>
              <w:jc w:val="both"/>
              <w:rPr>
                <w:rFonts w:ascii="Times New Roman" w:hAnsi="Times New Roman"/>
              </w:rPr>
            </w:pPr>
            <w:r w:rsidRPr="00B07918">
              <w:rPr>
                <w:rFonts w:ascii="Times New Roman" w:hAnsi="Times New Roman"/>
              </w:rPr>
              <w:t>Скорость двигателя в диапазоне: от 24000 до 32000 об/мин</w:t>
            </w:r>
          </w:p>
          <w:p w:rsidR="00317ED9" w:rsidRDefault="00317ED9" w:rsidP="00317ED9">
            <w:pPr>
              <w:ind w:right="4"/>
              <w:jc w:val="both"/>
              <w:rPr>
                <w:rFonts w:ascii="Times New Roman" w:hAnsi="Times New Roman"/>
              </w:rPr>
            </w:pPr>
            <w:r>
              <w:rPr>
                <w:rFonts w:ascii="Times New Roman" w:hAnsi="Times New Roman"/>
              </w:rPr>
              <w:t>Автоматическое включение/выключение: наличие</w:t>
            </w:r>
          </w:p>
          <w:p w:rsidR="00317ED9" w:rsidRDefault="00317ED9" w:rsidP="00317ED9">
            <w:pPr>
              <w:ind w:right="4"/>
              <w:jc w:val="both"/>
              <w:rPr>
                <w:rFonts w:ascii="Times New Roman" w:hAnsi="Times New Roman"/>
              </w:rPr>
            </w:pPr>
            <w:r>
              <w:rPr>
                <w:rFonts w:ascii="Times New Roman" w:hAnsi="Times New Roman"/>
              </w:rPr>
              <w:t xml:space="preserve">Управление: сенсорное </w:t>
            </w:r>
          </w:p>
          <w:p w:rsidR="00317ED9" w:rsidRDefault="00317ED9" w:rsidP="00317ED9">
            <w:pPr>
              <w:ind w:right="4"/>
              <w:jc w:val="both"/>
              <w:rPr>
                <w:rFonts w:ascii="Times New Roman" w:hAnsi="Times New Roman"/>
              </w:rPr>
            </w:pPr>
            <w:r>
              <w:rPr>
                <w:rFonts w:ascii="Times New Roman" w:hAnsi="Times New Roman"/>
              </w:rPr>
              <w:t>Цвет: черный</w:t>
            </w:r>
          </w:p>
          <w:p w:rsidR="00262F4E" w:rsidRPr="00553554" w:rsidRDefault="00262F4E" w:rsidP="008A6C9F">
            <w:pPr>
              <w:rPr>
                <w:rFonts w:ascii="Times New Roman" w:hAnsi="Times New Roman"/>
              </w:rPr>
            </w:pPr>
          </w:p>
        </w:tc>
        <w:tc>
          <w:tcPr>
            <w:tcW w:w="851" w:type="dxa"/>
          </w:tcPr>
          <w:p w:rsidR="00262F4E" w:rsidRPr="00570343" w:rsidRDefault="00262F4E" w:rsidP="008A6C9F">
            <w:pPr>
              <w:rPr>
                <w:rFonts w:ascii="Times New Roman" w:hAnsi="Times New Roman"/>
              </w:rPr>
            </w:pPr>
            <w:r>
              <w:rPr>
                <w:rFonts w:ascii="Times New Roman" w:hAnsi="Times New Roman"/>
              </w:rPr>
              <w:t>Штука</w:t>
            </w:r>
          </w:p>
        </w:tc>
        <w:tc>
          <w:tcPr>
            <w:tcW w:w="708" w:type="dxa"/>
          </w:tcPr>
          <w:p w:rsidR="00262F4E" w:rsidRPr="00570343" w:rsidRDefault="00317ED9" w:rsidP="008A6C9F">
            <w:pPr>
              <w:jc w:val="center"/>
              <w:rPr>
                <w:rFonts w:ascii="Times New Roman" w:hAnsi="Times New Roman"/>
              </w:rPr>
            </w:pPr>
            <w:r>
              <w:rPr>
                <w:rFonts w:ascii="Times New Roman" w:hAnsi="Times New Roman"/>
              </w:rPr>
              <w:t>6</w:t>
            </w:r>
          </w:p>
        </w:tc>
        <w:tc>
          <w:tcPr>
            <w:tcW w:w="1418" w:type="dxa"/>
          </w:tcPr>
          <w:p w:rsidR="00317ED9" w:rsidRPr="00DA58BC" w:rsidRDefault="00317ED9" w:rsidP="00317ED9">
            <w:pPr>
              <w:rPr>
                <w:rFonts w:ascii="Times New Roman" w:hAnsi="Times New Roman"/>
              </w:rPr>
            </w:pPr>
            <w:r w:rsidRPr="00DA58BC">
              <w:rPr>
                <w:rFonts w:ascii="Times New Roman" w:hAnsi="Times New Roman"/>
              </w:rPr>
              <w:t>27.51.23.120</w:t>
            </w:r>
          </w:p>
          <w:p w:rsidR="00262F4E" w:rsidRPr="00570343" w:rsidRDefault="00262F4E" w:rsidP="008A6C9F">
            <w:pPr>
              <w:rPr>
                <w:rFonts w:ascii="Times New Roman" w:hAnsi="Times New Roman"/>
              </w:rPr>
            </w:pPr>
          </w:p>
        </w:tc>
        <w:tc>
          <w:tcPr>
            <w:tcW w:w="992" w:type="dxa"/>
            <w:shd w:val="clear" w:color="auto" w:fill="FFFF00"/>
          </w:tcPr>
          <w:p w:rsidR="00262F4E" w:rsidRPr="00F7111B" w:rsidRDefault="00262F4E" w:rsidP="008A6C9F">
            <w:pPr>
              <w:rPr>
                <w:highlight w:val="yellow"/>
              </w:rPr>
            </w:pPr>
          </w:p>
        </w:tc>
        <w:tc>
          <w:tcPr>
            <w:tcW w:w="992" w:type="dxa"/>
            <w:shd w:val="clear" w:color="auto" w:fill="FFFF00"/>
          </w:tcPr>
          <w:p w:rsidR="00262F4E" w:rsidRPr="00F7111B" w:rsidRDefault="00262F4E" w:rsidP="008A6C9F">
            <w:pPr>
              <w:rPr>
                <w:highlight w:val="yellow"/>
              </w:rPr>
            </w:pPr>
          </w:p>
        </w:tc>
        <w:tc>
          <w:tcPr>
            <w:tcW w:w="992" w:type="dxa"/>
            <w:shd w:val="clear" w:color="auto" w:fill="FFFF00"/>
          </w:tcPr>
          <w:p w:rsidR="00262F4E" w:rsidRPr="00F7111B" w:rsidRDefault="00262F4E" w:rsidP="008A6C9F">
            <w:pPr>
              <w:rPr>
                <w:highlight w:val="yellow"/>
              </w:rPr>
            </w:pPr>
          </w:p>
        </w:tc>
        <w:tc>
          <w:tcPr>
            <w:tcW w:w="1134" w:type="dxa"/>
            <w:shd w:val="clear" w:color="auto" w:fill="FFFF00"/>
          </w:tcPr>
          <w:p w:rsidR="00262F4E" w:rsidRPr="00F7111B" w:rsidRDefault="00262F4E" w:rsidP="008A6C9F">
            <w:pPr>
              <w:rPr>
                <w:highlight w:val="yellow"/>
              </w:rPr>
            </w:pPr>
          </w:p>
        </w:tc>
        <w:tc>
          <w:tcPr>
            <w:tcW w:w="1134" w:type="dxa"/>
            <w:shd w:val="clear" w:color="auto" w:fill="FFFF00"/>
          </w:tcPr>
          <w:p w:rsidR="00262F4E" w:rsidRPr="00F7111B" w:rsidRDefault="00262F4E" w:rsidP="008A6C9F">
            <w:pPr>
              <w:rPr>
                <w:highlight w:val="yellow"/>
              </w:rPr>
            </w:pPr>
          </w:p>
        </w:tc>
      </w:tr>
      <w:tr w:rsidR="00262F4E" w:rsidRPr="00F7111B" w:rsidTr="00262F4E">
        <w:trPr>
          <w:trHeight w:val="975"/>
        </w:trPr>
        <w:tc>
          <w:tcPr>
            <w:tcW w:w="425" w:type="dxa"/>
          </w:tcPr>
          <w:p w:rsidR="00262F4E" w:rsidRPr="007C2872" w:rsidRDefault="00262F4E" w:rsidP="00262F4E">
            <w:pPr>
              <w:pStyle w:val="a7"/>
              <w:numPr>
                <w:ilvl w:val="0"/>
                <w:numId w:val="21"/>
              </w:numPr>
              <w:rPr>
                <w:rFonts w:ascii="Times New Roman" w:hAnsi="Times New Roman"/>
              </w:rPr>
            </w:pPr>
          </w:p>
        </w:tc>
        <w:tc>
          <w:tcPr>
            <w:tcW w:w="1843" w:type="dxa"/>
          </w:tcPr>
          <w:p w:rsidR="00262F4E" w:rsidRPr="00553554" w:rsidRDefault="00317ED9" w:rsidP="00262F4E">
            <w:pPr>
              <w:rPr>
                <w:rFonts w:ascii="Times New Roman" w:hAnsi="Times New Roman"/>
              </w:rPr>
            </w:pPr>
            <w:r>
              <w:rPr>
                <w:rFonts w:ascii="Times New Roman" w:hAnsi="Times New Roman"/>
              </w:rPr>
              <w:t>Пылесос влажной и сухой уборки</w:t>
            </w:r>
          </w:p>
        </w:tc>
        <w:tc>
          <w:tcPr>
            <w:tcW w:w="5245" w:type="dxa"/>
          </w:tcPr>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Пылесос влажной и сухой уборки</w:t>
            </w:r>
            <w:r w:rsidRPr="00F25005">
              <w:rPr>
                <w:rFonts w:ascii="Times New Roman" w:hAnsi="Times New Roman"/>
              </w:rPr>
              <w:t xml:space="preserve"> NT 70/2 Me Classic</w:t>
            </w:r>
          </w:p>
          <w:p w:rsidR="00317ED9" w:rsidRDefault="00317ED9" w:rsidP="00317ED9">
            <w:pPr>
              <w:ind w:right="4"/>
              <w:jc w:val="both"/>
              <w:rPr>
                <w:rFonts w:ascii="Times New Roman" w:hAnsi="Times New Roman"/>
              </w:rPr>
            </w:pPr>
            <w:r>
              <w:rPr>
                <w:rFonts w:ascii="Times New Roman" w:hAnsi="Times New Roman"/>
              </w:rPr>
              <w:t>(или эквивалент):</w:t>
            </w:r>
          </w:p>
          <w:p w:rsidR="00317ED9" w:rsidRDefault="00317ED9" w:rsidP="00317ED9">
            <w:pPr>
              <w:ind w:right="4"/>
              <w:jc w:val="both"/>
              <w:rPr>
                <w:rFonts w:ascii="Times New Roman" w:hAnsi="Times New Roman"/>
              </w:rPr>
            </w:pP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Объем мусоросборника: не менее 70 л</w:t>
            </w:r>
          </w:p>
          <w:p w:rsidR="00317ED9" w:rsidRDefault="00317ED9" w:rsidP="00317ED9">
            <w:pPr>
              <w:shd w:val="clear" w:color="auto" w:fill="FFFFFF"/>
              <w:spacing w:line="300" w:lineRule="atLeast"/>
              <w:ind w:right="4"/>
              <w:textAlignment w:val="baseline"/>
              <w:rPr>
                <w:rFonts w:ascii="Times New Roman" w:hAnsi="Times New Roman"/>
              </w:rPr>
            </w:pPr>
            <w:r w:rsidRPr="002A0004">
              <w:rPr>
                <w:rFonts w:ascii="Times New Roman" w:hAnsi="Times New Roman"/>
              </w:rPr>
              <w:t>Класс энергоэффективности:</w:t>
            </w:r>
            <w:r>
              <w:rPr>
                <w:rFonts w:ascii="Times New Roman" w:hAnsi="Times New Roman"/>
              </w:rPr>
              <w:t xml:space="preserve"> </w:t>
            </w:r>
            <w:r w:rsidRPr="002A0004">
              <w:rPr>
                <w:rFonts w:ascii="Times New Roman" w:hAnsi="Times New Roman"/>
              </w:rPr>
              <w:t>не ниже</w:t>
            </w:r>
            <w:r>
              <w:rPr>
                <w:rFonts w:ascii="Times New Roman" w:hAnsi="Times New Roman"/>
              </w:rPr>
              <w:t> B</w:t>
            </w: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Материал мусоросборника: нержавеющая сталь</w:t>
            </w: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Длина всасывающего шланга: не менее 2,5 м</w:t>
            </w: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Длина кабеля: не менее 7 м</w:t>
            </w: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Количество моторов: не менее 2</w:t>
            </w: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Патронный фильтр: наличие</w:t>
            </w:r>
          </w:p>
          <w:p w:rsidR="00317ED9" w:rsidRDefault="00317ED9" w:rsidP="00317ED9">
            <w:pPr>
              <w:shd w:val="clear" w:color="auto" w:fill="FFFFFF"/>
              <w:spacing w:line="300" w:lineRule="atLeast"/>
              <w:ind w:right="4"/>
              <w:textAlignment w:val="baseline"/>
              <w:rPr>
                <w:rFonts w:ascii="Times New Roman" w:hAnsi="Times New Roman"/>
              </w:rPr>
            </w:pPr>
            <w:r>
              <w:rPr>
                <w:rFonts w:ascii="Times New Roman" w:hAnsi="Times New Roman"/>
              </w:rPr>
              <w:t>Сливной шланг: наличие</w:t>
            </w:r>
          </w:p>
          <w:p w:rsidR="00262F4E" w:rsidRPr="00553554" w:rsidRDefault="00317ED9" w:rsidP="00266ECA">
            <w:pPr>
              <w:shd w:val="clear" w:color="auto" w:fill="FFFFFF"/>
              <w:spacing w:line="300" w:lineRule="atLeast"/>
              <w:ind w:right="4"/>
              <w:textAlignment w:val="baseline"/>
              <w:rPr>
                <w:rFonts w:ascii="Times New Roman" w:hAnsi="Times New Roman"/>
              </w:rPr>
            </w:pPr>
            <w:r>
              <w:rPr>
                <w:rFonts w:ascii="Times New Roman" w:hAnsi="Times New Roman"/>
              </w:rPr>
              <w:t>Область применения: сбор пыли, грубого мусора, жидкости</w:t>
            </w:r>
          </w:p>
        </w:tc>
        <w:tc>
          <w:tcPr>
            <w:tcW w:w="851" w:type="dxa"/>
          </w:tcPr>
          <w:p w:rsidR="00262F4E" w:rsidRPr="00BD6EB0" w:rsidRDefault="00262F4E" w:rsidP="008A6C9F">
            <w:pPr>
              <w:rPr>
                <w:rFonts w:ascii="Times New Roman" w:hAnsi="Times New Roman"/>
              </w:rPr>
            </w:pPr>
            <w:r>
              <w:rPr>
                <w:rFonts w:ascii="Times New Roman" w:hAnsi="Times New Roman"/>
              </w:rPr>
              <w:t>Штука</w:t>
            </w:r>
          </w:p>
        </w:tc>
        <w:tc>
          <w:tcPr>
            <w:tcW w:w="708" w:type="dxa"/>
          </w:tcPr>
          <w:p w:rsidR="00262F4E" w:rsidRPr="00BD6EB0" w:rsidRDefault="00317ED9" w:rsidP="008A6C9F">
            <w:pPr>
              <w:jc w:val="center"/>
              <w:rPr>
                <w:rFonts w:ascii="Times New Roman" w:hAnsi="Times New Roman"/>
              </w:rPr>
            </w:pPr>
            <w:r>
              <w:rPr>
                <w:rFonts w:ascii="Times New Roman" w:hAnsi="Times New Roman"/>
              </w:rPr>
              <w:t>1</w:t>
            </w:r>
          </w:p>
        </w:tc>
        <w:tc>
          <w:tcPr>
            <w:tcW w:w="1418" w:type="dxa"/>
          </w:tcPr>
          <w:p w:rsidR="00262F4E" w:rsidRPr="00BD6EB0" w:rsidRDefault="00317ED9" w:rsidP="008A6C9F">
            <w:pPr>
              <w:rPr>
                <w:rFonts w:ascii="Times New Roman" w:hAnsi="Times New Roman"/>
              </w:rPr>
            </w:pPr>
            <w:r w:rsidRPr="00F25005">
              <w:rPr>
                <w:rFonts w:ascii="Times New Roman" w:hAnsi="Times New Roman"/>
              </w:rPr>
              <w:t>27.51.21.111</w:t>
            </w:r>
          </w:p>
        </w:tc>
        <w:tc>
          <w:tcPr>
            <w:tcW w:w="992" w:type="dxa"/>
            <w:shd w:val="clear" w:color="auto" w:fill="FFFF00"/>
          </w:tcPr>
          <w:p w:rsidR="00262F4E" w:rsidRPr="00F7111B" w:rsidRDefault="00262F4E" w:rsidP="008A6C9F">
            <w:pPr>
              <w:rPr>
                <w:rFonts w:ascii="Times New Roman" w:hAnsi="Times New Roman"/>
                <w:highlight w:val="yellow"/>
              </w:rPr>
            </w:pPr>
          </w:p>
        </w:tc>
        <w:tc>
          <w:tcPr>
            <w:tcW w:w="992" w:type="dxa"/>
            <w:shd w:val="clear" w:color="auto" w:fill="FFFF00"/>
          </w:tcPr>
          <w:p w:rsidR="00262F4E" w:rsidRPr="00F7111B" w:rsidRDefault="00262F4E" w:rsidP="008A6C9F">
            <w:pPr>
              <w:rPr>
                <w:rFonts w:ascii="Times New Roman" w:hAnsi="Times New Roman"/>
                <w:highlight w:val="yellow"/>
              </w:rPr>
            </w:pPr>
          </w:p>
        </w:tc>
        <w:tc>
          <w:tcPr>
            <w:tcW w:w="992" w:type="dxa"/>
            <w:shd w:val="clear" w:color="auto" w:fill="FFFF00"/>
          </w:tcPr>
          <w:p w:rsidR="00262F4E" w:rsidRPr="00F7111B" w:rsidRDefault="00262F4E" w:rsidP="008A6C9F">
            <w:pPr>
              <w:rPr>
                <w:rFonts w:ascii="Times New Roman" w:hAnsi="Times New Roman"/>
                <w:highlight w:val="yellow"/>
              </w:rPr>
            </w:pPr>
          </w:p>
        </w:tc>
        <w:tc>
          <w:tcPr>
            <w:tcW w:w="1134" w:type="dxa"/>
            <w:shd w:val="clear" w:color="auto" w:fill="FFFF00"/>
          </w:tcPr>
          <w:p w:rsidR="00262F4E" w:rsidRPr="00F7111B" w:rsidRDefault="00262F4E" w:rsidP="008A6C9F">
            <w:pPr>
              <w:rPr>
                <w:rFonts w:ascii="Times New Roman" w:hAnsi="Times New Roman"/>
                <w:highlight w:val="yellow"/>
              </w:rPr>
            </w:pPr>
          </w:p>
        </w:tc>
        <w:tc>
          <w:tcPr>
            <w:tcW w:w="1134" w:type="dxa"/>
            <w:shd w:val="clear" w:color="auto" w:fill="FFFF00"/>
          </w:tcPr>
          <w:p w:rsidR="00262F4E" w:rsidRPr="00F7111B" w:rsidRDefault="00262F4E" w:rsidP="008A6C9F">
            <w:pPr>
              <w:rPr>
                <w:rFonts w:ascii="Times New Roman" w:hAnsi="Times New Roman"/>
                <w:highlight w:val="yellow"/>
              </w:rPr>
            </w:pPr>
          </w:p>
        </w:tc>
      </w:tr>
    </w:tbl>
    <w:p w:rsidR="00170252" w:rsidRPr="00262F4E" w:rsidRDefault="00170252" w:rsidP="00317ED9">
      <w:pPr>
        <w:rPr>
          <w:rFonts w:ascii="Times New Roman" w:hAnsi="Times New Roman" w:cs="Times New Roman"/>
          <w:sz w:val="28"/>
          <w:szCs w:val="28"/>
        </w:rPr>
      </w:pPr>
    </w:p>
    <w:sectPr w:rsidR="00170252" w:rsidRPr="00262F4E" w:rsidSect="00262F4E">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76" w:rsidRDefault="007B1276">
      <w:pPr>
        <w:spacing w:after="0" w:line="240" w:lineRule="auto"/>
      </w:pPr>
      <w:r>
        <w:separator/>
      </w:r>
    </w:p>
  </w:endnote>
  <w:endnote w:type="continuationSeparator" w:id="0">
    <w:p w:rsidR="007B1276" w:rsidRDefault="007B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AA9" w:rsidRDefault="00CF0AA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F0AA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F0AA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F0A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F0AA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F0AA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66ECA">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76" w:rsidRDefault="007B1276">
      <w:pPr>
        <w:spacing w:after="0" w:line="240" w:lineRule="auto"/>
      </w:pPr>
      <w:r>
        <w:separator/>
      </w:r>
    </w:p>
  </w:footnote>
  <w:footnote w:type="continuationSeparator" w:id="0">
    <w:p w:rsidR="007B1276" w:rsidRDefault="007B12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AA9" w:rsidRDefault="00CF0AA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AA9" w:rsidRDefault="00CF0AA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F0AA9" w:rsidRDefault="00CF0AA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847F90"/>
    <w:multiLevelType w:val="hybridMultilevel"/>
    <w:tmpl w:val="16EA4E8E"/>
    <w:lvl w:ilvl="0" w:tplc="07D00540">
      <w:start w:val="1"/>
      <w:numFmt w:val="decimal"/>
      <w:lvlRestart w:val="0"/>
      <w:lvlText w:val="%1."/>
      <w:lvlJc w:val="left"/>
      <w:pPr>
        <w:ind w:left="647"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4E6349"/>
    <w:multiLevelType w:val="hybridMultilevel"/>
    <w:tmpl w:val="57C0D5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8"/>
  </w:num>
  <w:num w:numId="9">
    <w:abstractNumId w:val="1"/>
  </w:num>
  <w:num w:numId="10">
    <w:abstractNumId w:val="17"/>
  </w:num>
  <w:num w:numId="11">
    <w:abstractNumId w:val="20"/>
  </w:num>
  <w:num w:numId="12">
    <w:abstractNumId w:val="10"/>
  </w:num>
  <w:num w:numId="13">
    <w:abstractNumId w:val="4"/>
  </w:num>
  <w:num w:numId="14">
    <w:abstractNumId w:val="9"/>
  </w:num>
  <w:num w:numId="15">
    <w:abstractNumId w:val="19"/>
  </w:num>
  <w:num w:numId="16">
    <w:abstractNumId w:val="13"/>
  </w:num>
  <w:num w:numId="17">
    <w:abstractNumId w:val="8"/>
  </w:num>
  <w:num w:numId="18">
    <w:abstractNumId w:val="6"/>
  </w:num>
  <w:num w:numId="19">
    <w:abstractNumId w:val="16"/>
  </w:num>
  <w:num w:numId="20">
    <w:abstractNumId w:val="7"/>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2F4E"/>
    <w:rsid w:val="00266ECA"/>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17ED9"/>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9C2"/>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127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0360"/>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060FB"/>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0AA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B53E3"/>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53D2-B42B-4B08-BA0C-43F5A770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2022-06-22T08:39:00Z</dcterms:created>
  <dcterms:modified xsi:type="dcterms:W3CDTF">2022-06-22T08:39:00Z</dcterms:modified>
</cp:coreProperties>
</file>