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24.06.2026 № 05-07/1353</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01.07.2026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5026A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EC4C2C">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для отделения лабораторной диагностики</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EC4C2C">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20.11.2026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12.11.2026. Максимальное количество партий – 3 (три).</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EC4C2C">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EC4C2C">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EC4C2C">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Определен техническим заданием.</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EC4C2C">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EC4C2C">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EC4C2C">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EC4C2C">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EC4C2C">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EC4C2C">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EC4C2C">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EC4C2C">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EC4C2C">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 или СТ-1)</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EC4C2C">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EC4C2C">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EC4C2C">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EC4C2C">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EC4C2C">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EC4C2C">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0" w:type="auto"/>
        <w:tblLayout w:type="fixed"/>
        <w:tblLook w:val="04A0" w:firstRow="1" w:lastRow="0" w:firstColumn="1" w:lastColumn="0" w:noHBand="0" w:noVBand="1"/>
      </w:tblPr>
      <w:tblGrid>
        <w:gridCol w:w="851"/>
        <w:gridCol w:w="1736"/>
        <w:gridCol w:w="1168"/>
        <w:gridCol w:w="850"/>
        <w:gridCol w:w="2449"/>
        <w:gridCol w:w="1820"/>
        <w:gridCol w:w="1364"/>
        <w:gridCol w:w="1364"/>
        <w:gridCol w:w="981"/>
        <w:gridCol w:w="1357"/>
        <w:gridCol w:w="719"/>
        <w:gridCol w:w="583"/>
        <w:gridCol w:w="707"/>
      </w:tblGrid>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 п/п</w:t>
            </w:r>
          </w:p>
        </w:tc>
        <w:tc>
          <w:tcPr>
            <w:tcW w:w="1736" w:type="dxa"/>
            <w:vMerge w:val="restart"/>
            <w:noWrap/>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Наименование товара</w:t>
            </w:r>
          </w:p>
        </w:tc>
        <w:tc>
          <w:tcPr>
            <w:tcW w:w="1168" w:type="dxa"/>
            <w:vMerge w:val="restart"/>
            <w:noWrap/>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КОД ОКПД2</w:t>
            </w:r>
          </w:p>
        </w:tc>
        <w:tc>
          <w:tcPr>
            <w:tcW w:w="850" w:type="dxa"/>
            <w:vMerge w:val="restart"/>
            <w:noWrap/>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Кол-во товара</w:t>
            </w:r>
          </w:p>
        </w:tc>
        <w:tc>
          <w:tcPr>
            <w:tcW w:w="2449"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Наименование характеристики</w:t>
            </w:r>
          </w:p>
        </w:tc>
        <w:tc>
          <w:tcPr>
            <w:tcW w:w="1820"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Значение характеристики</w:t>
            </w:r>
          </w:p>
        </w:tc>
        <w:tc>
          <w:tcPr>
            <w:tcW w:w="1364"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Единица измерения характеристики</w:t>
            </w:r>
          </w:p>
        </w:tc>
        <w:tc>
          <w:tcPr>
            <w:tcW w:w="1364"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Инструкция по заполнению характеристики в заявке</w:t>
            </w:r>
          </w:p>
        </w:tc>
        <w:tc>
          <w:tcPr>
            <w:tcW w:w="981"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Ед. измерения</w:t>
            </w:r>
          </w:p>
        </w:tc>
        <w:tc>
          <w:tcPr>
            <w:tcW w:w="1357"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Страна происхождения Товара</w:t>
            </w:r>
          </w:p>
        </w:tc>
        <w:tc>
          <w:tcPr>
            <w:tcW w:w="719"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Ставка НДС%</w:t>
            </w:r>
          </w:p>
        </w:tc>
        <w:tc>
          <w:tcPr>
            <w:tcW w:w="583"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Цена за ед. без НДС</w:t>
            </w:r>
          </w:p>
        </w:tc>
        <w:tc>
          <w:tcPr>
            <w:tcW w:w="707" w:type="dxa"/>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Сумма без НДС</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bCs/>
                <w:sz w:val="20"/>
                <w:szCs w:val="20"/>
              </w:rPr>
            </w:pPr>
          </w:p>
        </w:tc>
        <w:tc>
          <w:tcPr>
            <w:tcW w:w="1736" w:type="dxa"/>
            <w:vMerge/>
            <w:hideMark/>
          </w:tcPr>
          <w:p w:rsidR="00EC4C2C" w:rsidRPr="00EC4C2C" w:rsidRDefault="00EC4C2C">
            <w:pPr>
              <w:rPr>
                <w:rFonts w:ascii="Times New Roman" w:hAnsi="Times New Roman" w:cs="Times New Roman"/>
                <w:bCs/>
                <w:sz w:val="20"/>
                <w:szCs w:val="20"/>
              </w:rPr>
            </w:pPr>
          </w:p>
        </w:tc>
        <w:tc>
          <w:tcPr>
            <w:tcW w:w="1168" w:type="dxa"/>
            <w:vMerge/>
            <w:hideMark/>
          </w:tcPr>
          <w:p w:rsidR="00EC4C2C" w:rsidRPr="00EC4C2C" w:rsidRDefault="00EC4C2C">
            <w:pPr>
              <w:rPr>
                <w:rFonts w:ascii="Times New Roman" w:hAnsi="Times New Roman" w:cs="Times New Roman"/>
                <w:bCs/>
                <w:sz w:val="20"/>
                <w:szCs w:val="20"/>
              </w:rPr>
            </w:pPr>
          </w:p>
        </w:tc>
        <w:tc>
          <w:tcPr>
            <w:tcW w:w="850" w:type="dxa"/>
            <w:vMerge/>
            <w:hideMark/>
          </w:tcPr>
          <w:p w:rsidR="00EC4C2C" w:rsidRPr="00EC4C2C" w:rsidRDefault="00EC4C2C">
            <w:pPr>
              <w:rPr>
                <w:rFonts w:ascii="Times New Roman" w:hAnsi="Times New Roman" w:cs="Times New Roman"/>
                <w:bCs/>
                <w:sz w:val="20"/>
                <w:szCs w:val="20"/>
              </w:rPr>
            </w:pPr>
          </w:p>
        </w:tc>
        <w:tc>
          <w:tcPr>
            <w:tcW w:w="2449" w:type="dxa"/>
            <w:vMerge/>
            <w:hideMark/>
          </w:tcPr>
          <w:p w:rsidR="00EC4C2C" w:rsidRPr="00EC4C2C" w:rsidRDefault="00EC4C2C">
            <w:pPr>
              <w:rPr>
                <w:rFonts w:ascii="Times New Roman" w:hAnsi="Times New Roman" w:cs="Times New Roman"/>
                <w:bCs/>
                <w:sz w:val="20"/>
                <w:szCs w:val="20"/>
              </w:rPr>
            </w:pPr>
          </w:p>
        </w:tc>
        <w:tc>
          <w:tcPr>
            <w:tcW w:w="1820" w:type="dxa"/>
            <w:vMerge/>
            <w:hideMark/>
          </w:tcPr>
          <w:p w:rsidR="00EC4C2C" w:rsidRPr="00EC4C2C" w:rsidRDefault="00EC4C2C">
            <w:pPr>
              <w:rPr>
                <w:rFonts w:ascii="Times New Roman" w:hAnsi="Times New Roman" w:cs="Times New Roman"/>
                <w:bCs/>
                <w:sz w:val="20"/>
                <w:szCs w:val="20"/>
              </w:rPr>
            </w:pPr>
          </w:p>
        </w:tc>
        <w:tc>
          <w:tcPr>
            <w:tcW w:w="1364" w:type="dxa"/>
            <w:vMerge/>
            <w:hideMark/>
          </w:tcPr>
          <w:p w:rsidR="00EC4C2C" w:rsidRPr="00EC4C2C" w:rsidRDefault="00EC4C2C">
            <w:pPr>
              <w:rPr>
                <w:rFonts w:ascii="Times New Roman" w:hAnsi="Times New Roman" w:cs="Times New Roman"/>
                <w:bCs/>
                <w:sz w:val="20"/>
                <w:szCs w:val="20"/>
              </w:rPr>
            </w:pPr>
          </w:p>
        </w:tc>
        <w:tc>
          <w:tcPr>
            <w:tcW w:w="1364" w:type="dxa"/>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bCs/>
                <w:sz w:val="20"/>
                <w:szCs w:val="20"/>
              </w:rPr>
            </w:pPr>
          </w:p>
        </w:tc>
        <w:tc>
          <w:tcPr>
            <w:tcW w:w="1357" w:type="dxa"/>
            <w:vMerge/>
            <w:hideMark/>
          </w:tcPr>
          <w:p w:rsidR="00EC4C2C" w:rsidRPr="00EC4C2C" w:rsidRDefault="00EC4C2C">
            <w:pPr>
              <w:rPr>
                <w:rFonts w:ascii="Times New Roman" w:hAnsi="Times New Roman" w:cs="Times New Roman"/>
                <w:bCs/>
                <w:sz w:val="20"/>
                <w:szCs w:val="20"/>
              </w:rPr>
            </w:pPr>
          </w:p>
        </w:tc>
        <w:tc>
          <w:tcPr>
            <w:tcW w:w="719" w:type="dxa"/>
            <w:vMerge/>
            <w:hideMark/>
          </w:tcPr>
          <w:p w:rsidR="00EC4C2C" w:rsidRPr="00EC4C2C" w:rsidRDefault="00EC4C2C">
            <w:pPr>
              <w:rPr>
                <w:rFonts w:ascii="Times New Roman" w:hAnsi="Times New Roman" w:cs="Times New Roman"/>
                <w:bCs/>
                <w:sz w:val="20"/>
                <w:szCs w:val="20"/>
              </w:rPr>
            </w:pPr>
          </w:p>
        </w:tc>
        <w:tc>
          <w:tcPr>
            <w:tcW w:w="583" w:type="dxa"/>
            <w:vMerge/>
            <w:hideMark/>
          </w:tcPr>
          <w:p w:rsidR="00EC4C2C" w:rsidRPr="00EC4C2C" w:rsidRDefault="00EC4C2C">
            <w:pPr>
              <w:rPr>
                <w:rFonts w:ascii="Times New Roman" w:hAnsi="Times New Roman" w:cs="Times New Roman"/>
                <w:bCs/>
                <w:sz w:val="20"/>
                <w:szCs w:val="20"/>
              </w:rPr>
            </w:pPr>
          </w:p>
        </w:tc>
        <w:tc>
          <w:tcPr>
            <w:tcW w:w="707" w:type="dxa"/>
            <w:vMerge/>
            <w:hideMark/>
          </w:tcPr>
          <w:p w:rsidR="00EC4C2C" w:rsidRPr="00EC4C2C" w:rsidRDefault="00EC4C2C">
            <w:pPr>
              <w:rPr>
                <w:rFonts w:ascii="Times New Roman" w:hAnsi="Times New Roman" w:cs="Times New Roman"/>
                <w:bCs/>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bCs/>
                <w:sz w:val="20"/>
                <w:szCs w:val="20"/>
              </w:rPr>
            </w:pPr>
          </w:p>
        </w:tc>
        <w:tc>
          <w:tcPr>
            <w:tcW w:w="1736" w:type="dxa"/>
            <w:vMerge/>
            <w:hideMark/>
          </w:tcPr>
          <w:p w:rsidR="00EC4C2C" w:rsidRPr="00EC4C2C" w:rsidRDefault="00EC4C2C">
            <w:pPr>
              <w:rPr>
                <w:rFonts w:ascii="Times New Roman" w:hAnsi="Times New Roman" w:cs="Times New Roman"/>
                <w:bCs/>
                <w:sz w:val="20"/>
                <w:szCs w:val="20"/>
              </w:rPr>
            </w:pPr>
          </w:p>
        </w:tc>
        <w:tc>
          <w:tcPr>
            <w:tcW w:w="1168" w:type="dxa"/>
            <w:vMerge/>
            <w:hideMark/>
          </w:tcPr>
          <w:p w:rsidR="00EC4C2C" w:rsidRPr="00EC4C2C" w:rsidRDefault="00EC4C2C">
            <w:pPr>
              <w:rPr>
                <w:rFonts w:ascii="Times New Roman" w:hAnsi="Times New Roman" w:cs="Times New Roman"/>
                <w:bCs/>
                <w:sz w:val="20"/>
                <w:szCs w:val="20"/>
              </w:rPr>
            </w:pPr>
          </w:p>
        </w:tc>
        <w:tc>
          <w:tcPr>
            <w:tcW w:w="850" w:type="dxa"/>
            <w:vMerge/>
            <w:hideMark/>
          </w:tcPr>
          <w:p w:rsidR="00EC4C2C" w:rsidRPr="00EC4C2C" w:rsidRDefault="00EC4C2C">
            <w:pPr>
              <w:rPr>
                <w:rFonts w:ascii="Times New Roman" w:hAnsi="Times New Roman" w:cs="Times New Roman"/>
                <w:bCs/>
                <w:sz w:val="20"/>
                <w:szCs w:val="20"/>
              </w:rPr>
            </w:pPr>
          </w:p>
        </w:tc>
        <w:tc>
          <w:tcPr>
            <w:tcW w:w="2449" w:type="dxa"/>
            <w:vMerge/>
            <w:hideMark/>
          </w:tcPr>
          <w:p w:rsidR="00EC4C2C" w:rsidRPr="00EC4C2C" w:rsidRDefault="00EC4C2C">
            <w:pPr>
              <w:rPr>
                <w:rFonts w:ascii="Times New Roman" w:hAnsi="Times New Roman" w:cs="Times New Roman"/>
                <w:bCs/>
                <w:sz w:val="20"/>
                <w:szCs w:val="20"/>
              </w:rPr>
            </w:pPr>
          </w:p>
        </w:tc>
        <w:tc>
          <w:tcPr>
            <w:tcW w:w="1820" w:type="dxa"/>
            <w:vMerge/>
            <w:hideMark/>
          </w:tcPr>
          <w:p w:rsidR="00EC4C2C" w:rsidRPr="00EC4C2C" w:rsidRDefault="00EC4C2C">
            <w:pPr>
              <w:rPr>
                <w:rFonts w:ascii="Times New Roman" w:hAnsi="Times New Roman" w:cs="Times New Roman"/>
                <w:bCs/>
                <w:sz w:val="20"/>
                <w:szCs w:val="20"/>
              </w:rPr>
            </w:pPr>
          </w:p>
        </w:tc>
        <w:tc>
          <w:tcPr>
            <w:tcW w:w="1364" w:type="dxa"/>
            <w:vMerge/>
            <w:hideMark/>
          </w:tcPr>
          <w:p w:rsidR="00EC4C2C" w:rsidRPr="00EC4C2C" w:rsidRDefault="00EC4C2C">
            <w:pPr>
              <w:rPr>
                <w:rFonts w:ascii="Times New Roman" w:hAnsi="Times New Roman" w:cs="Times New Roman"/>
                <w:bCs/>
                <w:sz w:val="20"/>
                <w:szCs w:val="20"/>
              </w:rPr>
            </w:pPr>
          </w:p>
        </w:tc>
        <w:tc>
          <w:tcPr>
            <w:tcW w:w="1364" w:type="dxa"/>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bCs/>
                <w:sz w:val="20"/>
                <w:szCs w:val="20"/>
              </w:rPr>
            </w:pPr>
          </w:p>
        </w:tc>
        <w:tc>
          <w:tcPr>
            <w:tcW w:w="1357" w:type="dxa"/>
            <w:vMerge/>
            <w:hideMark/>
          </w:tcPr>
          <w:p w:rsidR="00EC4C2C" w:rsidRPr="00EC4C2C" w:rsidRDefault="00EC4C2C">
            <w:pPr>
              <w:rPr>
                <w:rFonts w:ascii="Times New Roman" w:hAnsi="Times New Roman" w:cs="Times New Roman"/>
                <w:bCs/>
                <w:sz w:val="20"/>
                <w:szCs w:val="20"/>
              </w:rPr>
            </w:pPr>
          </w:p>
        </w:tc>
        <w:tc>
          <w:tcPr>
            <w:tcW w:w="719" w:type="dxa"/>
            <w:vMerge/>
            <w:hideMark/>
          </w:tcPr>
          <w:p w:rsidR="00EC4C2C" w:rsidRPr="00EC4C2C" w:rsidRDefault="00EC4C2C">
            <w:pPr>
              <w:rPr>
                <w:rFonts w:ascii="Times New Roman" w:hAnsi="Times New Roman" w:cs="Times New Roman"/>
                <w:bCs/>
                <w:sz w:val="20"/>
                <w:szCs w:val="20"/>
              </w:rPr>
            </w:pPr>
          </w:p>
        </w:tc>
        <w:tc>
          <w:tcPr>
            <w:tcW w:w="583" w:type="dxa"/>
            <w:vMerge/>
            <w:hideMark/>
          </w:tcPr>
          <w:p w:rsidR="00EC4C2C" w:rsidRPr="00EC4C2C" w:rsidRDefault="00EC4C2C">
            <w:pPr>
              <w:rPr>
                <w:rFonts w:ascii="Times New Roman" w:hAnsi="Times New Roman" w:cs="Times New Roman"/>
                <w:bCs/>
                <w:sz w:val="20"/>
                <w:szCs w:val="20"/>
              </w:rPr>
            </w:pPr>
          </w:p>
        </w:tc>
        <w:tc>
          <w:tcPr>
            <w:tcW w:w="707" w:type="dxa"/>
            <w:vMerge/>
            <w:hideMark/>
          </w:tcPr>
          <w:p w:rsidR="00EC4C2C" w:rsidRPr="00EC4C2C" w:rsidRDefault="00EC4C2C">
            <w:pPr>
              <w:rPr>
                <w:rFonts w:ascii="Times New Roman" w:hAnsi="Times New Roman" w:cs="Times New Roman"/>
                <w:bCs/>
                <w:sz w:val="20"/>
                <w:szCs w:val="20"/>
              </w:rPr>
            </w:pPr>
          </w:p>
        </w:tc>
      </w:tr>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1736"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xml:space="preserve">Материал контрольный многоуровневый "Липочек Контроль "Иммунохимия Плюс", трехуровневый, </w:t>
            </w:r>
          </w:p>
        </w:tc>
        <w:tc>
          <w:tcPr>
            <w:tcW w:w="1168"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w:t>
            </w:r>
          </w:p>
        </w:tc>
        <w:tc>
          <w:tcPr>
            <w:tcW w:w="244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иммунохимических показателей</w:t>
            </w:r>
          </w:p>
        </w:tc>
        <w:tc>
          <w:tcPr>
            <w:tcW w:w="1820" w:type="dxa"/>
            <w:vMerge w:val="restart"/>
            <w:hideMark/>
          </w:tcPr>
          <w:p w:rsidR="00EC4C2C" w:rsidRPr="00EC4C2C" w:rsidRDefault="00EC4C2C" w:rsidP="00EC4C2C">
            <w:pPr>
              <w:rPr>
                <w:rFonts w:ascii="Times New Roman" w:hAnsi="Times New Roman" w:cs="Times New Roman"/>
                <w:sz w:val="20"/>
                <w:szCs w:val="20"/>
              </w:rPr>
            </w:pPr>
            <w:r>
              <w:rPr>
                <w:rFonts w:ascii="Times New Roman" w:hAnsi="Times New Roman" w:cs="Times New Roman"/>
                <w:sz w:val="20"/>
                <w:szCs w:val="20"/>
              </w:rPr>
              <w:t>соответствие</w:t>
            </w:r>
          </w:p>
        </w:tc>
        <w:tc>
          <w:tcPr>
            <w:tcW w:w="1364"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 – человеческая сыворотка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12 х 5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 3 уровня концентрации – низкий, нормальный, высокий.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продукта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восстановления лиофилизата – не менее 7 дней при условии хранения при температуре от 2 до 8° С, не менее 20 дней при условии хранения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90 показателей (половые гормоны, гормоны щитовидной железы, онкомаркеры): Ацетаминофен; Флеканид; Прогестерон; АКТГ; Фолиевая к-та; Пролактин; АФП; Фруктозамин; Пропранолол; Альдостерон; ФСГ; ПСА; 17-Альфа-Гидороксипрогестерон; Гастрин; ПСА (Свободный); Амикацин; Гентамицин; Паратиреоидный гормон; Амиодарон; Глюкагон; Хинидин; Амитриптилин; ХГЧ; Салициллаты; Андростендион; Бета-ХГЧ; Белок, связывающий половые гормоны; Ангиотензин I; СТГ; Соматомедин-C; Кофеин; 25-гидрокси Витамин D; T3 (Свободный); Кальцитонин; Имипрамин; T3 (Общий); Карбамазепин; IgA; T3 связывание; Карбамазепин (Свободный); IgE; T4 (Свободный); РЭА; IgG; T4 (Общий); Хлорамфеникол; IgM; Тироксинсвязывающий глобулин; Кортизол; Инсулин; Тестостерон; С-пептид; Железо сыворотки; Тестостерон (Свободный); Циклоспорин; Железо (ОЖСС); Теофиллин; 11 – Деоксикортизол; ЛГ; Тиреоглобулин; Дезипрамин; Лидокаин; Тобрамицин; Дегидроксиэпиандростерон; Литий; Скрининг трициклических антидепрессантов; Дегидроксиэпиандростерон Сульфат; N-ацетипрокаинамид (NAPA); ТТГ; Дигоксин; Нетилмицин; Вальпроевая к-та; Дизопирамид; Нортриптилин; Вальпроевая к-та (Свободная) ; Эстрадиол; Простатическая кислая фосфатаза; Ванкомицин; Эстриол (Свободный); Фенобарбитал; Витамин B12; Эстриол (Общий); Фенитоин; Эстрогены (Общие); Фенитоин (Свободный); Этосукцимид; Примидон; Ферритин; Прокаинамид.</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w:t>
            </w:r>
          </w:p>
        </w:tc>
        <w:tc>
          <w:tcPr>
            <w:tcW w:w="1736"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xml:space="preserve">Материал контрольный многоуровневый "Липочек Контроль Опухолевые Маркеры Плюс" уровень 1, </w:t>
            </w:r>
          </w:p>
        </w:tc>
        <w:tc>
          <w:tcPr>
            <w:tcW w:w="1168"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онкомаркеров</w:t>
            </w:r>
          </w:p>
        </w:tc>
        <w:tc>
          <w:tcPr>
            <w:tcW w:w="182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 – человеческая сыворотка.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6 х 2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уровень 1 (низкий)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продукта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восстановления лиофилизата – не менее 14 дней при условии хранения при температуре от 2 до 8° С, не менее 30 дней при условии хранения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20 показателей: CA 125; CA 50; АФП; Пролактин; CA 72-4; CA 27-29; Бета-ХГЧ; Простатическая кислая фосфатаза; Бета-2-микроглобулин; Cyfra 21-1; Кальцитонин; РЭА; CA 15-3; S-100; Нейрон-специфическая енолаза; Тироглобулин; CA 19-9; АКТГ; ПСА; Ферритин; CASA; Альдостерон; ПСА (свободный); ХГЧ</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3</w:t>
            </w:r>
          </w:p>
        </w:tc>
        <w:tc>
          <w:tcPr>
            <w:tcW w:w="1736"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xml:space="preserve">Материал контрольный многоуровневый "Липочек Контроль Опухолевые Маркеры Плюс" уровень 2, </w:t>
            </w:r>
          </w:p>
        </w:tc>
        <w:tc>
          <w:tcPr>
            <w:tcW w:w="1168"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онкомаркеров</w:t>
            </w:r>
          </w:p>
        </w:tc>
        <w:tc>
          <w:tcPr>
            <w:tcW w:w="182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 – человеческая сыворотка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6 х 2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уровень 2 (повышенный).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продукта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восстановления лиофилизата – не менее 14 дней при условии хранения при температуре от 2 до 8° С, не менее 30 дней при условии хранения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20 показателей: CA 125; CA 50; АФП; Пролактин; CA 72-4; CA 27-29; Бета-ХГЧ; Простатическая кислая фосфатаза; Бета-2-микроглобулин; Cyfra 21-1; Кальцитонин; РЭА; CA 15-3; S-100; Нейрон-специфическая енолаза; Тироглобулин; CA 19-9; АКТГ; ПСА; Ферритин; CASA; Альдостерон; ПСА (свободный); ХГЧ.</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4</w:t>
            </w:r>
          </w:p>
        </w:tc>
        <w:tc>
          <w:tcPr>
            <w:tcW w:w="1736"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xml:space="preserve">Материал контрольный многоуровневый "Липочек Контроль Опухолевые Маркеры Плюс" уровень 3, </w:t>
            </w:r>
          </w:p>
        </w:tc>
        <w:tc>
          <w:tcPr>
            <w:tcW w:w="1168"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онкомаркеров.</w:t>
            </w:r>
          </w:p>
        </w:tc>
        <w:tc>
          <w:tcPr>
            <w:tcW w:w="182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vMerge/>
            <w:hideMark/>
          </w:tcPr>
          <w:p w:rsidR="00EC4C2C" w:rsidRPr="00EC4C2C" w:rsidRDefault="00EC4C2C">
            <w:pPr>
              <w:rPr>
                <w:rFonts w:ascii="Times New Roman" w:hAnsi="Times New Roman" w:cs="Times New Roman"/>
                <w:sz w:val="20"/>
                <w:szCs w:val="20"/>
              </w:rPr>
            </w:pPr>
          </w:p>
        </w:tc>
        <w:tc>
          <w:tcPr>
            <w:tcW w:w="1820"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1364" w:type="dxa"/>
            <w:vMerge/>
            <w:hideMark/>
          </w:tcPr>
          <w:p w:rsidR="00EC4C2C" w:rsidRPr="00EC4C2C" w:rsidRDefault="00EC4C2C">
            <w:pPr>
              <w:rPr>
                <w:rFonts w:ascii="Times New Roman" w:hAnsi="Times New Roman" w:cs="Times New Roman"/>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 – человеческая сыворотка.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6 х 2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уровень 3 (сильно повышенный).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продута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восстановления лиофилизата – не менее 14 дней при условии хранения при температуре от 2 до 8° С, не менее 30 дней при условии хранения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20 показателей: CA 125; CA 50; АФП; Пролактин; CA 72-4; CA 27-29; Бета-ХГЧ; Простатическая кислая фосфатаза; Бета-2-микроглобулин; Cyfra 21-1; Кальцитонин; РЭА; CA 15-3; S-100; Нейрон-специфическая енолаза; Тироглобулин; CA 19-9; АКТГ; ПСА; Ферритин; CASA; Альдостерон; ПСА (свободный); ХГЧ.</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5</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xml:space="preserve">Материал контрольный многоуровневый "Липочек Контроль "Иммуносупрессоры в цельной крови", </w:t>
            </w:r>
          </w:p>
        </w:tc>
        <w:tc>
          <w:tcPr>
            <w:tcW w:w="1168"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иммуносупрессоров в цельной крови человека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человеческая цельная кровь</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и реагентах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6 х 2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уровень 1</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не менее 3 лет с момента производства при температуре от 2 до 8 °С</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реагентов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после вскрытия флакона – не менее 14 дней при условии хранения при температуре от 2 до 8 °С, 30 дней при условии хранения при температуре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3 показателей: Циклоспорин, Сиролимус, Такролимус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6</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xml:space="preserve">Материал контрольный многоуровневый "Липочек Контроль "Иммуносупрессоры в цельной крови", </w:t>
            </w:r>
          </w:p>
        </w:tc>
        <w:tc>
          <w:tcPr>
            <w:tcW w:w="1168"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иммуносупрессоров в цельной крови человека.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человеческая цельная кровь</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и реагентах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6 х 2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уровень 3</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реагентов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после вскрытия флакона – не менее 14 дней при условии хранения при температуре от 2 до 8 °С, 30 дней при условии хранения при температуре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3 показателей: Циклоспорин, Сиролимус, Такролимус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7</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Материал контрольный многоуровневый "Липочек Контроль "Иммуносупрессоры в цельной крови", 4 уровень, 6х2 мл</w:t>
            </w:r>
          </w:p>
        </w:tc>
        <w:tc>
          <w:tcPr>
            <w:tcW w:w="1168"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иммуносупрессоров в цельной крови человека.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w:t>
            </w:r>
          </w:p>
        </w:tc>
        <w:tc>
          <w:tcPr>
            <w:tcW w:w="135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человеческая цельная кровь</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и реагентах различных производителей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6 х 2 мл</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уровень 4.</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реагентов на момент поставки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12</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Месяц</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после вскрытия флакона – не менее 14 дней при условии хранения при температуре от 2 до 8 ° С, 30 дней при условии хранения при температуре от -20 до -70°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 не менее 3 показателей: Циклоспорин, Сиролимус, Такролимус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соответствие</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8</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Множественные гормоны человека ИВД, контрольный материал</w:t>
            </w:r>
          </w:p>
        </w:tc>
        <w:tc>
          <w:tcPr>
            <w:tcW w:w="1168"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21.20.23.110-00010162*</w:t>
            </w:r>
          </w:p>
        </w:tc>
        <w:tc>
          <w:tcPr>
            <w:tcW w:w="85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6997" w:type="dxa"/>
            <w:gridSpan w:val="4"/>
            <w:vMerge w:val="restart"/>
          </w:tcPr>
          <w:p w:rsidR="00EC4C2C" w:rsidRPr="00EC4C2C" w:rsidRDefault="00EC4C2C" w:rsidP="00EC4C2C">
            <w:pPr>
              <w:rPr>
                <w:rFonts w:ascii="Times New Roman" w:hAnsi="Times New Roman" w:cs="Times New Roman"/>
                <w:bCs/>
                <w:sz w:val="20"/>
                <w:szCs w:val="20"/>
              </w:rPr>
            </w:pP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набор</w:t>
            </w:r>
          </w:p>
        </w:tc>
        <w:tc>
          <w:tcPr>
            <w:tcW w:w="135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Человеческая сыворотка</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низкий</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Объем материала во флаконе</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5</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мл</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Количество флаконов в фасовке</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6</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шт</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вскрытия флакона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30</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дней</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Контроль показателей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25-гидрокси витамин D; Anti-TPO; Паратиреоидный гормон, интактный; С-пептид; Anti-Tg; Инсулиноподобные ростовые факторы (ИРФ); Остеокальцин; Эритропоэтин</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9</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Множественные гормоны человека ИВД, контрольный материал</w:t>
            </w:r>
          </w:p>
        </w:tc>
        <w:tc>
          <w:tcPr>
            <w:tcW w:w="1168"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21.20.23.110-00010162*</w:t>
            </w:r>
          </w:p>
        </w:tc>
        <w:tc>
          <w:tcPr>
            <w:tcW w:w="85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6997" w:type="dxa"/>
            <w:gridSpan w:val="4"/>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Характеристики товаров согласно КТРУ отсутствуют</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набор</w:t>
            </w:r>
          </w:p>
        </w:tc>
        <w:tc>
          <w:tcPr>
            <w:tcW w:w="135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Человеческая сыворотка</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xml:space="preserve">Уровень концентрации </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нормальный</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Объем материала во флаконе</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5</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мл</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Количество флаконов в фасовке</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6</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шт</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вскрытия флакона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30</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дней</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Контроль показателей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25-гидрокси витамин D; Anti-TPO; Паратиреоидный гормон, интактный; С-пептид; Anti-Tg; Инсулиноподобные ростовые факторы (ИРФ); Остеокальцин; Эритропоэтин</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30"/>
        </w:trPr>
        <w:tc>
          <w:tcPr>
            <w:tcW w:w="85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10</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Множественные гормоны человека ИВД, контрольный материал</w:t>
            </w:r>
          </w:p>
        </w:tc>
        <w:tc>
          <w:tcPr>
            <w:tcW w:w="1168"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21.20.23.110-00010162*</w:t>
            </w:r>
          </w:p>
        </w:tc>
        <w:tc>
          <w:tcPr>
            <w:tcW w:w="850"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6997" w:type="dxa"/>
            <w:gridSpan w:val="4"/>
            <w:vMerge w:val="restart"/>
            <w:hideMark/>
          </w:tcPr>
          <w:p w:rsidR="00EC4C2C" w:rsidRPr="00EC4C2C" w:rsidRDefault="00EC4C2C" w:rsidP="00EC4C2C">
            <w:pPr>
              <w:rPr>
                <w:rFonts w:ascii="Times New Roman" w:hAnsi="Times New Roman" w:cs="Times New Roman"/>
                <w:bCs/>
                <w:sz w:val="20"/>
                <w:szCs w:val="20"/>
              </w:rPr>
            </w:pPr>
            <w:r w:rsidRPr="00EC4C2C">
              <w:rPr>
                <w:rFonts w:ascii="Times New Roman" w:hAnsi="Times New Roman" w:cs="Times New Roman"/>
                <w:bCs/>
                <w:sz w:val="20"/>
                <w:szCs w:val="20"/>
              </w:rPr>
              <w:t>Характеристики товаров согласно КТРУ отсутствуют</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набор</w:t>
            </w:r>
          </w:p>
        </w:tc>
        <w:tc>
          <w:tcPr>
            <w:tcW w:w="135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3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6997" w:type="dxa"/>
            <w:gridSpan w:val="4"/>
            <w:vMerge/>
            <w:hideMark/>
          </w:tcPr>
          <w:p w:rsidR="00EC4C2C" w:rsidRPr="00EC4C2C" w:rsidRDefault="00EC4C2C">
            <w:pPr>
              <w:rPr>
                <w:rFonts w:ascii="Times New Roman" w:hAnsi="Times New Roman" w:cs="Times New Roman"/>
                <w:bCs/>
                <w:sz w:val="20"/>
                <w:szCs w:val="20"/>
              </w:rPr>
            </w:pP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Человеческая сыворотка</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xml:space="preserve">Уровень концентрации </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высокий</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Объем материала во флаконе</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5</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мл</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Количество флаконов в фасовке</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6</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шт</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вскрытия флакона при температуре от 2 до 8° С</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30</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дней</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Контроль показателей</w:t>
            </w:r>
          </w:p>
        </w:tc>
        <w:tc>
          <w:tcPr>
            <w:tcW w:w="1820"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25-гидрокси витамин D; Anti-TPO; Паратиреоидный гормон, интактный; С-пептид; Anti-Tg; Инсулиноподобные ростовые факторы (ИРФ); Остеокальцин; Эритропоэтин</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11</w:t>
            </w:r>
          </w:p>
        </w:tc>
        <w:tc>
          <w:tcPr>
            <w:tcW w:w="1736"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Контроль "Аттестованная биохимия", уровень 1, 12 х 5 мл,</w:t>
            </w:r>
          </w:p>
        </w:tc>
        <w:tc>
          <w:tcPr>
            <w:tcW w:w="1168" w:type="dxa"/>
            <w:vMerge w:val="restart"/>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21.20.23.110</w:t>
            </w:r>
          </w:p>
        </w:tc>
        <w:tc>
          <w:tcPr>
            <w:tcW w:w="850" w:type="dxa"/>
            <w:vMerge w:val="restart"/>
            <w:noWrap/>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1</w:t>
            </w: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981"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Упаковка</w:t>
            </w:r>
          </w:p>
        </w:tc>
        <w:tc>
          <w:tcPr>
            <w:tcW w:w="135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19"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583"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707" w:type="dxa"/>
            <w:vMerge w:val="restart"/>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 </w:t>
            </w: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Назначение: внутрилабораторный контроль качества для оценки воспроизводимости определения биохимических показателей</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Основа – человеческая сыворотка</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Возможность работы на анализаторах различных производителей</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Фасовка: 12 х 5 мл</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Лиофилизированная форма выпуска</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Уровень концентрации – нормальный</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Срок годности закрытой упаковки - не менее 3 лет с момента производства при температуре от 2 до 8° С, срок годности продукта на момент поставки - не менее 12 месяцев</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Стабильность аналитов после восстановления лиофилизата – не менее 7 дней при условии хранения при температуре от 2 до 8° С, не менее 30 дней при условии хранения от -20 до -70° С</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Соответствует</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Включает</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не менее 80 показателей: Ацетаминофен; Церулоплазмин; IgM; Т3 (общий); Кислая фосфатаза (общая); Хлорид; Железо; Т3 связывание; Альбумин; Холестерин; Лактат; Т4 (свободный); Щелочная фосфатаза; Холестерин (ЛПВП); Лейцинаминопептидаза (LAP); Т4 (общий); АФП; Холинэстераза; ЛДГ; Тироксинсвязывающий глобулин; Альдолаза; КК (креатинкиназа); Липаза; Теофиллин; Альфа-1-антитрипсин; С3 Комплимент; Литий; Железо (ОЖСС); АЛТ; С4 Комплимент; Магний; Железо (НЖСС); Амилаза; Медь; Осмоляльность; Тобрамицин; Амилаза (панкреатическая); Кортизол; Простатическая кислая фосфатаза; Трансферин; Аполипопротеин А-1; Креатинин; Фосфор; Триглицериды; Аполипопротеин В; Дигоксин;; Калий; ТTГ; АСТ; Фолиевая кислота; Электрофоретический белок; Мочевина; Бикарбонаты (СО2); Гентамицин; Общий белок; Азот мочевины; Билирубин (прямой); ГГТ; Салициллаты; Мочевая кислота; Билирубин (коньюгированный); Глутаматдегидрогеназа; ПСА; Вальпроевая кислота; Билирубин (общий); Глюкоза; фенобарбитал; Ванкомицин; Глобулин; Гаптоглобин; Фенитоин; Витамин В12; Кальций; Альфа-гидроксибутират дегидрогеназа; Салициллаты; Кальций (ионизированный); Бета-ХГЧ; Натрий; Карбамазепин; IgA; Цинк; РЭА; IgG; Т3 (свободный)</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5A72E7" w:rsidRDefault="00EC4C2C" w:rsidP="00EC4C2C">
            <w:pPr>
              <w:rPr>
                <w:rFonts w:ascii="Times New Roman" w:hAnsi="Times New Roman" w:cs="Times New Roman"/>
                <w:sz w:val="20"/>
                <w:szCs w:val="20"/>
                <w:lang w:val="en-US"/>
              </w:rPr>
            </w:pPr>
            <w:r w:rsidRPr="00EC4C2C">
              <w:rPr>
                <w:rFonts w:ascii="Times New Roman" w:hAnsi="Times New Roman" w:cs="Times New Roman"/>
                <w:sz w:val="20"/>
                <w:szCs w:val="20"/>
              </w:rPr>
              <w:t>Участник закупки указывает в заявке конкретное значение характеристики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r w:rsidR="00EC4C2C" w:rsidRPr="00EC4C2C" w:rsidTr="00EC4C2C">
        <w:trPr>
          <w:trHeight w:val="20"/>
        </w:trPr>
        <w:tc>
          <w:tcPr>
            <w:tcW w:w="851" w:type="dxa"/>
            <w:vMerge/>
            <w:hideMark/>
          </w:tcPr>
          <w:p w:rsidR="00EC4C2C" w:rsidRPr="00EC4C2C" w:rsidRDefault="00EC4C2C">
            <w:pPr>
              <w:rPr>
                <w:rFonts w:ascii="Times New Roman" w:hAnsi="Times New Roman" w:cs="Times New Roman"/>
                <w:sz w:val="20"/>
                <w:szCs w:val="20"/>
              </w:rPr>
            </w:pPr>
          </w:p>
        </w:tc>
        <w:tc>
          <w:tcPr>
            <w:tcW w:w="1736" w:type="dxa"/>
            <w:vMerge/>
            <w:hideMark/>
          </w:tcPr>
          <w:p w:rsidR="00EC4C2C" w:rsidRPr="00EC4C2C" w:rsidRDefault="00EC4C2C">
            <w:pPr>
              <w:rPr>
                <w:rFonts w:ascii="Times New Roman" w:hAnsi="Times New Roman" w:cs="Times New Roman"/>
                <w:sz w:val="20"/>
                <w:szCs w:val="20"/>
              </w:rPr>
            </w:pPr>
          </w:p>
        </w:tc>
        <w:tc>
          <w:tcPr>
            <w:tcW w:w="1168" w:type="dxa"/>
            <w:vMerge/>
            <w:hideMark/>
          </w:tcPr>
          <w:p w:rsidR="00EC4C2C" w:rsidRPr="00EC4C2C" w:rsidRDefault="00EC4C2C">
            <w:pPr>
              <w:rPr>
                <w:rFonts w:ascii="Times New Roman" w:hAnsi="Times New Roman" w:cs="Times New Roman"/>
                <w:sz w:val="20"/>
                <w:szCs w:val="20"/>
              </w:rPr>
            </w:pPr>
          </w:p>
        </w:tc>
        <w:tc>
          <w:tcPr>
            <w:tcW w:w="850" w:type="dxa"/>
            <w:vMerge/>
            <w:hideMark/>
          </w:tcPr>
          <w:p w:rsidR="00EC4C2C" w:rsidRPr="00EC4C2C" w:rsidRDefault="00EC4C2C">
            <w:pPr>
              <w:rPr>
                <w:rFonts w:ascii="Times New Roman" w:hAnsi="Times New Roman" w:cs="Times New Roman"/>
                <w:sz w:val="20"/>
                <w:szCs w:val="20"/>
              </w:rPr>
            </w:pPr>
          </w:p>
        </w:tc>
        <w:tc>
          <w:tcPr>
            <w:tcW w:w="2449"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Инструкция на русском языке</w:t>
            </w:r>
          </w:p>
        </w:tc>
        <w:tc>
          <w:tcPr>
            <w:tcW w:w="1820"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Наличие</w:t>
            </w:r>
          </w:p>
        </w:tc>
        <w:tc>
          <w:tcPr>
            <w:tcW w:w="1364" w:type="dxa"/>
            <w:hideMark/>
          </w:tcPr>
          <w:p w:rsidR="00EC4C2C" w:rsidRPr="00EC4C2C" w:rsidRDefault="00EC4C2C">
            <w:pPr>
              <w:rPr>
                <w:rFonts w:ascii="Times New Roman" w:hAnsi="Times New Roman" w:cs="Times New Roman"/>
                <w:sz w:val="20"/>
                <w:szCs w:val="20"/>
              </w:rPr>
            </w:pPr>
            <w:r w:rsidRPr="00EC4C2C">
              <w:rPr>
                <w:rFonts w:ascii="Times New Roman" w:hAnsi="Times New Roman" w:cs="Times New Roman"/>
                <w:sz w:val="20"/>
                <w:szCs w:val="20"/>
              </w:rPr>
              <w:t> </w:t>
            </w:r>
          </w:p>
        </w:tc>
        <w:tc>
          <w:tcPr>
            <w:tcW w:w="1364" w:type="dxa"/>
            <w:hideMark/>
          </w:tcPr>
          <w:p w:rsidR="00EC4C2C" w:rsidRPr="00EC4C2C" w:rsidRDefault="00EC4C2C" w:rsidP="00EC4C2C">
            <w:pPr>
              <w:rPr>
                <w:rFonts w:ascii="Times New Roman" w:hAnsi="Times New Roman" w:cs="Times New Roman"/>
                <w:sz w:val="20"/>
                <w:szCs w:val="20"/>
              </w:rPr>
            </w:pPr>
            <w:r w:rsidRPr="00EC4C2C">
              <w:rPr>
                <w:rFonts w:ascii="Times New Roman" w:hAnsi="Times New Roman" w:cs="Times New Roman"/>
                <w:sz w:val="20"/>
                <w:szCs w:val="20"/>
              </w:rPr>
              <w:t>Значение характеристики не может изменяться участником закупки</w:t>
            </w:r>
          </w:p>
        </w:tc>
        <w:tc>
          <w:tcPr>
            <w:tcW w:w="981" w:type="dxa"/>
            <w:vMerge/>
            <w:hideMark/>
          </w:tcPr>
          <w:p w:rsidR="00EC4C2C" w:rsidRPr="00EC4C2C" w:rsidRDefault="00EC4C2C">
            <w:pPr>
              <w:rPr>
                <w:rFonts w:ascii="Times New Roman" w:hAnsi="Times New Roman" w:cs="Times New Roman"/>
                <w:sz w:val="20"/>
                <w:szCs w:val="20"/>
              </w:rPr>
            </w:pPr>
          </w:p>
        </w:tc>
        <w:tc>
          <w:tcPr>
            <w:tcW w:w="1357" w:type="dxa"/>
            <w:vMerge/>
            <w:hideMark/>
          </w:tcPr>
          <w:p w:rsidR="00EC4C2C" w:rsidRPr="00EC4C2C" w:rsidRDefault="00EC4C2C">
            <w:pPr>
              <w:rPr>
                <w:rFonts w:ascii="Times New Roman" w:hAnsi="Times New Roman" w:cs="Times New Roman"/>
                <w:sz w:val="20"/>
                <w:szCs w:val="20"/>
              </w:rPr>
            </w:pPr>
          </w:p>
        </w:tc>
        <w:tc>
          <w:tcPr>
            <w:tcW w:w="719" w:type="dxa"/>
            <w:vMerge/>
            <w:hideMark/>
          </w:tcPr>
          <w:p w:rsidR="00EC4C2C" w:rsidRPr="00EC4C2C" w:rsidRDefault="00EC4C2C">
            <w:pPr>
              <w:rPr>
                <w:rFonts w:ascii="Times New Roman" w:hAnsi="Times New Roman" w:cs="Times New Roman"/>
                <w:sz w:val="20"/>
                <w:szCs w:val="20"/>
              </w:rPr>
            </w:pPr>
          </w:p>
        </w:tc>
        <w:tc>
          <w:tcPr>
            <w:tcW w:w="583" w:type="dxa"/>
            <w:vMerge/>
            <w:hideMark/>
          </w:tcPr>
          <w:p w:rsidR="00EC4C2C" w:rsidRPr="00EC4C2C" w:rsidRDefault="00EC4C2C">
            <w:pPr>
              <w:rPr>
                <w:rFonts w:ascii="Times New Roman" w:hAnsi="Times New Roman" w:cs="Times New Roman"/>
                <w:sz w:val="20"/>
                <w:szCs w:val="20"/>
              </w:rPr>
            </w:pPr>
          </w:p>
        </w:tc>
        <w:tc>
          <w:tcPr>
            <w:tcW w:w="707" w:type="dxa"/>
            <w:vMerge/>
            <w:hideMark/>
          </w:tcPr>
          <w:p w:rsidR="00EC4C2C" w:rsidRPr="00EC4C2C" w:rsidRDefault="00EC4C2C">
            <w:pPr>
              <w:rPr>
                <w:rFonts w:ascii="Times New Roman" w:hAnsi="Times New Roman" w:cs="Times New Roman"/>
                <w:sz w:val="20"/>
                <w:szCs w:val="20"/>
              </w:rPr>
            </w:pPr>
          </w:p>
        </w:tc>
      </w:tr>
    </w:tbl>
    <w:p w:rsidR="005A72E7" w:rsidRDefault="005A72E7" w:rsidP="005A72E7">
      <w:pPr>
        <w:autoSpaceDE w:val="0"/>
        <w:autoSpaceDN w:val="0"/>
        <w:adjustRightInd w:val="0"/>
        <w:rPr>
          <w:rFonts w:ascii="Times New Roman CYR" w:hAnsi="Times New Roman CYR" w:cs="Times New Roman CYR"/>
          <w:b/>
          <w:bCs/>
        </w:rPr>
      </w:pPr>
      <w:r>
        <w:rPr>
          <w:rFonts w:ascii="Times New Roman CYR" w:hAnsi="Times New Roman CYR" w:cs="Times New Roman CYR"/>
          <w:b/>
          <w:bCs/>
        </w:rPr>
        <w:t>*</w:t>
      </w:r>
      <w:r>
        <w:rPr>
          <w:rFonts w:ascii="Times New Roman CYR" w:hAnsi="Times New Roman CYR" w:cs="Times New Roman CYR"/>
          <w:b/>
          <w:bCs/>
          <w:i/>
          <w:iCs/>
        </w:rPr>
        <w:t>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r>
        <w:rPr>
          <w:rFonts w:ascii="Times New Roman CYR" w:hAnsi="Times New Roman CYR" w:cs="Times New Roman CYR"/>
          <w:b/>
          <w:bCs/>
        </w:rPr>
        <w:t xml:space="preserve"> </w:t>
      </w:r>
      <w:r w:rsidRPr="005A72E7">
        <w:rPr>
          <w:rFonts w:ascii="Roboto" w:hAnsi="Roboto" w:cs="Roboto"/>
          <w:color w:val="333333"/>
          <w:highlight w:val="white"/>
        </w:rPr>
        <w:t>(</w:t>
      </w:r>
      <w:hyperlink r:id="rId18" w:history="1">
        <w:r>
          <w:rPr>
            <w:rFonts w:ascii="Calibri" w:hAnsi="Calibri" w:cs="Calibri"/>
            <w:color w:val="0064E0"/>
            <w:highlight w:val="white"/>
            <w:u w:val="single"/>
          </w:rPr>
          <w:t>письмо</w:t>
        </w:r>
      </w:hyperlink>
      <w:r>
        <w:rPr>
          <w:rFonts w:ascii="Roboto" w:hAnsi="Roboto" w:cs="Roboto"/>
          <w:color w:val="333333"/>
          <w:highlight w:val="white"/>
          <w:lang w:val="en-US"/>
        </w:rPr>
        <w:t> </w:t>
      </w:r>
      <w:r>
        <w:rPr>
          <w:rFonts w:ascii="Calibri" w:hAnsi="Calibri" w:cs="Calibri"/>
          <w:color w:val="333333"/>
          <w:highlight w:val="white"/>
        </w:rPr>
        <w:t>Минфина</w:t>
      </w:r>
      <w:r w:rsidRPr="005A72E7">
        <w:rPr>
          <w:rFonts w:ascii="Roboto" w:hAnsi="Roboto" w:cs="Roboto"/>
          <w:color w:val="333333"/>
          <w:highlight w:val="white"/>
        </w:rPr>
        <w:t xml:space="preserve"> </w:t>
      </w:r>
      <w:r>
        <w:rPr>
          <w:rFonts w:ascii="Calibri" w:hAnsi="Calibri" w:cs="Calibri"/>
          <w:color w:val="333333"/>
          <w:highlight w:val="white"/>
        </w:rPr>
        <w:t>России</w:t>
      </w:r>
      <w:r w:rsidRPr="005A72E7">
        <w:rPr>
          <w:rFonts w:ascii="Roboto" w:hAnsi="Roboto" w:cs="Roboto"/>
          <w:color w:val="333333"/>
          <w:highlight w:val="white"/>
        </w:rPr>
        <w:t xml:space="preserve"> </w:t>
      </w:r>
      <w:r>
        <w:rPr>
          <w:rFonts w:ascii="Calibri" w:hAnsi="Calibri" w:cs="Calibri"/>
          <w:color w:val="333333"/>
          <w:highlight w:val="white"/>
        </w:rPr>
        <w:t>от</w:t>
      </w:r>
      <w:r w:rsidRPr="005A72E7">
        <w:rPr>
          <w:rFonts w:ascii="Roboto" w:hAnsi="Roboto" w:cs="Roboto"/>
          <w:color w:val="333333"/>
          <w:highlight w:val="white"/>
        </w:rPr>
        <w:t xml:space="preserve"> 24 </w:t>
      </w:r>
      <w:r>
        <w:rPr>
          <w:rFonts w:ascii="Calibri" w:hAnsi="Calibri" w:cs="Calibri"/>
          <w:color w:val="333333"/>
          <w:highlight w:val="white"/>
        </w:rPr>
        <w:t>января</w:t>
      </w:r>
      <w:r w:rsidRPr="005A72E7">
        <w:rPr>
          <w:rFonts w:ascii="Roboto" w:hAnsi="Roboto" w:cs="Roboto"/>
          <w:color w:val="333333"/>
          <w:highlight w:val="white"/>
        </w:rPr>
        <w:t xml:space="preserve"> 2022 </w:t>
      </w:r>
      <w:r>
        <w:rPr>
          <w:rFonts w:ascii="Calibri" w:hAnsi="Calibri" w:cs="Calibri"/>
          <w:color w:val="333333"/>
          <w:highlight w:val="white"/>
        </w:rPr>
        <w:t>г</w:t>
      </w:r>
      <w:r w:rsidRPr="005A72E7">
        <w:rPr>
          <w:rFonts w:ascii="Roboto" w:hAnsi="Roboto" w:cs="Roboto"/>
          <w:color w:val="333333"/>
          <w:highlight w:val="white"/>
        </w:rPr>
        <w:t xml:space="preserve">. </w:t>
      </w:r>
      <w:r>
        <w:rPr>
          <w:rFonts w:ascii="Roboto" w:hAnsi="Roboto" w:cs="Roboto"/>
          <w:color w:val="333333"/>
          <w:highlight w:val="white"/>
          <w:lang w:val="en-US"/>
        </w:rPr>
        <w:t>N</w:t>
      </w:r>
      <w:r w:rsidRPr="005A72E7">
        <w:rPr>
          <w:rFonts w:ascii="Roboto" w:hAnsi="Roboto" w:cs="Roboto"/>
          <w:color w:val="333333"/>
          <w:highlight w:val="white"/>
        </w:rPr>
        <w:t xml:space="preserve"> 24-03-08/4090)</w:t>
      </w:r>
    </w:p>
    <w:p w:rsidR="00170252" w:rsidRDefault="00170252" w:rsidP="000820E3">
      <w:pPr>
        <w:rPr>
          <w:rFonts w:ascii="Times New Roman" w:hAnsi="Times New Roman" w:cs="Times New Roman"/>
          <w:b/>
          <w:sz w:val="28"/>
          <w:szCs w:val="28"/>
        </w:rPr>
      </w:pPr>
    </w:p>
    <w:sectPr w:rsidR="00170252" w:rsidSect="00EC4C2C">
      <w:headerReference w:type="first" r:id="rId19"/>
      <w:footerReference w:type="first" r:id="rId20"/>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B15" w:rsidRDefault="00136B15">
      <w:pPr>
        <w:spacing w:after="0" w:line="240" w:lineRule="auto"/>
      </w:pPr>
      <w:r>
        <w:separator/>
      </w:r>
    </w:p>
  </w:endnote>
  <w:endnote w:type="continuationSeparator" w:id="0">
    <w:p w:rsidR="00136B15" w:rsidRDefault="0013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Times New Roman CYR">
    <w:panose1 w:val="02020603050405020304"/>
    <w:charset w:val="CC"/>
    <w:family w:val="roman"/>
    <w:pitch w:val="variable"/>
    <w:sig w:usb0="E0002EFF" w:usb1="C0007843" w:usb2="00000009" w:usb3="00000000" w:csb0="000001FF" w:csb1="00000000"/>
  </w:font>
  <w:font w:name="Roboto">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26AA" w:rsidRDefault="005026A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C2C" w:rsidRDefault="005026A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EC4C2C" w:rsidRDefault="00EC4C2C">
        <w:pPr>
          <w:pStyle w:val="ab"/>
          <w:jc w:val="right"/>
        </w:pPr>
        <w:r>
          <w:fldChar w:fldCharType="begin"/>
        </w:r>
        <w:r>
          <w:instrText>PAGE   \* MERGEFORMAT</w:instrText>
        </w:r>
        <w:r>
          <w:fldChar w:fldCharType="separate"/>
        </w:r>
        <w:r w:rsidR="005026AA">
          <w:rPr>
            <w:noProof/>
          </w:rPr>
          <w:t>1</w:t>
        </w:r>
        <w:r>
          <w:fldChar w:fldCharType="end"/>
        </w:r>
      </w:p>
    </w:sdtContent>
  </w:sdt>
  <w:p w:rsidR="00EC4C2C" w:rsidRDefault="00EC4C2C">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C2C" w:rsidRDefault="005026AA">
    <w:pPr>
      <w:pStyle w:val="ab"/>
      <w:jc w:val="right"/>
    </w:pPr>
    <w:sdt>
      <w:sdtPr>
        <w:id w:val="-915003870"/>
        <w:docPartObj>
          <w:docPartGallery w:val="Page Numbers (Bottom of Page)"/>
          <w:docPartUnique/>
        </w:docPartObj>
      </w:sdtPr>
      <w:sdtEndPr/>
      <w:sdtContent>
        <w:r w:rsidR="00EC4C2C">
          <w:fldChar w:fldCharType="begin"/>
        </w:r>
        <w:r w:rsidR="00EC4C2C">
          <w:instrText>PAGE   \* MERGEFORMAT</w:instrText>
        </w:r>
        <w:r w:rsidR="00EC4C2C">
          <w:fldChar w:fldCharType="separate"/>
        </w:r>
        <w:r w:rsidR="00EC4C2C">
          <w:rPr>
            <w:noProof/>
          </w:rPr>
          <w:t>2</w:t>
        </w:r>
        <w:r w:rsidR="00EC4C2C">
          <w:fldChar w:fldCharType="end"/>
        </w:r>
      </w:sdtContent>
    </w:sdt>
  </w:p>
  <w:p w:rsidR="00EC4C2C" w:rsidRDefault="00EC4C2C"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C2C" w:rsidRDefault="005026AA">
    <w:pPr>
      <w:pStyle w:val="ab"/>
      <w:jc w:val="right"/>
    </w:pPr>
    <w:sdt>
      <w:sdtPr>
        <w:id w:val="707909240"/>
        <w:docPartObj>
          <w:docPartGallery w:val="Page Numbers (Bottom of Page)"/>
          <w:docPartUnique/>
        </w:docPartObj>
      </w:sdtPr>
      <w:sdtEndPr/>
      <w:sdtContent>
        <w:r w:rsidR="00EC4C2C">
          <w:fldChar w:fldCharType="begin"/>
        </w:r>
        <w:r w:rsidR="00EC4C2C">
          <w:instrText>PAGE   \* MERGEFORMAT</w:instrText>
        </w:r>
        <w:r w:rsidR="00EC4C2C">
          <w:fldChar w:fldCharType="separate"/>
        </w:r>
        <w:r w:rsidR="005A72E7">
          <w:rPr>
            <w:noProof/>
          </w:rPr>
          <w:t>2</w:t>
        </w:r>
        <w:r w:rsidR="00EC4C2C">
          <w:fldChar w:fldCharType="end"/>
        </w:r>
      </w:sdtContent>
    </w:sdt>
  </w:p>
  <w:p w:rsidR="00EC4C2C" w:rsidRDefault="00EC4C2C"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C2C" w:rsidRDefault="005026AA">
    <w:pPr>
      <w:pStyle w:val="ab"/>
      <w:jc w:val="right"/>
    </w:pPr>
    <w:sdt>
      <w:sdtPr>
        <w:id w:val="-800836465"/>
        <w:docPartObj>
          <w:docPartGallery w:val="Page Numbers (Bottom of Page)"/>
          <w:docPartUnique/>
        </w:docPartObj>
      </w:sdtPr>
      <w:sdtEndPr/>
      <w:sdtContent>
        <w:r w:rsidR="00EC4C2C">
          <w:fldChar w:fldCharType="begin"/>
        </w:r>
        <w:r w:rsidR="00EC4C2C">
          <w:instrText>PAGE   \* MERGEFORMAT</w:instrText>
        </w:r>
        <w:r w:rsidR="00EC4C2C">
          <w:fldChar w:fldCharType="separate"/>
        </w:r>
        <w:r w:rsidR="005A72E7">
          <w:rPr>
            <w:noProof/>
          </w:rPr>
          <w:t>3</w:t>
        </w:r>
        <w:r w:rsidR="00EC4C2C">
          <w:fldChar w:fldCharType="end"/>
        </w:r>
      </w:sdtContent>
    </w:sdt>
  </w:p>
  <w:p w:rsidR="00EC4C2C" w:rsidRDefault="00EC4C2C"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B15" w:rsidRDefault="00136B15">
      <w:pPr>
        <w:spacing w:after="0" w:line="240" w:lineRule="auto"/>
      </w:pPr>
      <w:r>
        <w:separator/>
      </w:r>
    </w:p>
  </w:footnote>
  <w:footnote w:type="continuationSeparator" w:id="0">
    <w:p w:rsidR="00136B15" w:rsidRDefault="00136B15">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26AA" w:rsidRDefault="005026A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26AA" w:rsidRDefault="005026A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5026AA" w:rsidRDefault="005026A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C2C" w:rsidRPr="006B0C1A" w:rsidRDefault="00EC4C2C"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EC4C2C" w:rsidRPr="006B0C1A" w:rsidRDefault="00EC4C2C"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36B1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26AA"/>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A72E7"/>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4C2C"/>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msonormal0">
    <w:name w:val="msonormal"/>
    <w:basedOn w:val="a0"/>
    <w:rsid w:val="00EC4C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0"/>
    <w:rsid w:val="00EC4C2C"/>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0"/>
    <w:rsid w:val="00EC4C2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0"/>
    <w:rsid w:val="00EC4C2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8">
    <w:name w:val="xl68"/>
    <w:basedOn w:val="a0"/>
    <w:rsid w:val="00EC4C2C"/>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0"/>
    <w:rsid w:val="00EC4C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0">
    <w:name w:val="xl70"/>
    <w:basedOn w:val="a0"/>
    <w:rsid w:val="00EC4C2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1">
    <w:name w:val="xl71"/>
    <w:basedOn w:val="a0"/>
    <w:rsid w:val="00EC4C2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2">
    <w:name w:val="xl72"/>
    <w:basedOn w:val="a0"/>
    <w:rsid w:val="00EC4C2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3">
    <w:name w:val="xl73"/>
    <w:basedOn w:val="a0"/>
    <w:rsid w:val="00EC4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4">
    <w:name w:val="xl74"/>
    <w:basedOn w:val="a0"/>
    <w:rsid w:val="00EC4C2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5">
    <w:name w:val="xl75"/>
    <w:basedOn w:val="a0"/>
    <w:rsid w:val="00EC4C2C"/>
    <w:pPr>
      <w:pBdr>
        <w:bottom w:val="single" w:sz="8" w:space="0" w:color="000000"/>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76">
    <w:name w:val="xl76"/>
    <w:basedOn w:val="a0"/>
    <w:rsid w:val="00EC4C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0"/>
    <w:rsid w:val="00EC4C2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0"/>
    <w:rsid w:val="00EC4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9">
    <w:name w:val="xl79"/>
    <w:basedOn w:val="a0"/>
    <w:rsid w:val="00EC4C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0">
    <w:name w:val="xl80"/>
    <w:basedOn w:val="a0"/>
    <w:rsid w:val="00EC4C2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1">
    <w:name w:val="xl81"/>
    <w:basedOn w:val="a0"/>
    <w:rsid w:val="00EC4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2">
    <w:name w:val="xl82"/>
    <w:basedOn w:val="a0"/>
    <w:rsid w:val="00EC4C2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83">
    <w:name w:val="xl83"/>
    <w:basedOn w:val="a0"/>
    <w:rsid w:val="00EC4C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4">
    <w:name w:val="xl84"/>
    <w:basedOn w:val="a0"/>
    <w:rsid w:val="00EC4C2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5">
    <w:name w:val="xl85"/>
    <w:basedOn w:val="a0"/>
    <w:rsid w:val="00EC4C2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6">
    <w:name w:val="xl86"/>
    <w:basedOn w:val="a0"/>
    <w:rsid w:val="00EC4C2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7">
    <w:name w:val="xl87"/>
    <w:basedOn w:val="a0"/>
    <w:rsid w:val="00EC4C2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8">
    <w:name w:val="xl88"/>
    <w:basedOn w:val="a0"/>
    <w:rsid w:val="00EC4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89">
    <w:name w:val="xl89"/>
    <w:basedOn w:val="a0"/>
    <w:rsid w:val="00EC4C2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0">
    <w:name w:val="xl90"/>
    <w:basedOn w:val="a0"/>
    <w:rsid w:val="00EC4C2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1">
    <w:name w:val="xl91"/>
    <w:basedOn w:val="a0"/>
    <w:rsid w:val="00EC4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0"/>
    <w:rsid w:val="00EC4C2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3">
    <w:name w:val="xl93"/>
    <w:basedOn w:val="a0"/>
    <w:rsid w:val="00EC4C2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EC4C2C"/>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5">
    <w:name w:val="xl95"/>
    <w:basedOn w:val="a0"/>
    <w:rsid w:val="00EC4C2C"/>
    <w:pPr>
      <w:pBdr>
        <w:left w:val="single" w:sz="8" w:space="0" w:color="auto"/>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6">
    <w:name w:val="xl96"/>
    <w:basedOn w:val="a0"/>
    <w:rsid w:val="00EC4C2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0"/>
    <w:rsid w:val="00EC4C2C"/>
    <w:pPr>
      <w:pBdr>
        <w:top w:val="single" w:sz="8" w:space="0" w:color="000000"/>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0"/>
    <w:rsid w:val="00EC4C2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9">
    <w:name w:val="xl99"/>
    <w:basedOn w:val="a0"/>
    <w:rsid w:val="00EC4C2C"/>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0"/>
    <w:rsid w:val="00EC4C2C"/>
    <w:pP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1">
    <w:name w:val="xl101"/>
    <w:basedOn w:val="a0"/>
    <w:rsid w:val="00EC4C2C"/>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2">
    <w:name w:val="xl102"/>
    <w:basedOn w:val="a0"/>
    <w:rsid w:val="00EC4C2C"/>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3">
    <w:name w:val="xl103"/>
    <w:basedOn w:val="a0"/>
    <w:rsid w:val="00EC4C2C"/>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0"/>
    <w:rsid w:val="00EC4C2C"/>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5">
    <w:name w:val="xl105"/>
    <w:basedOn w:val="a0"/>
    <w:rsid w:val="00EC4C2C"/>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0"/>
    <w:rsid w:val="00EC4C2C"/>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7">
    <w:name w:val="xl107"/>
    <w:basedOn w:val="a0"/>
    <w:rsid w:val="00EC4C2C"/>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8">
    <w:name w:val="xl108"/>
    <w:basedOn w:val="a0"/>
    <w:rsid w:val="00EC4C2C"/>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09">
    <w:name w:val="xl109"/>
    <w:basedOn w:val="a0"/>
    <w:rsid w:val="00EC4C2C"/>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10">
    <w:name w:val="xl110"/>
    <w:basedOn w:val="a0"/>
    <w:rsid w:val="00EC4C2C"/>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111">
    <w:name w:val="xl111"/>
    <w:basedOn w:val="a0"/>
    <w:rsid w:val="00EC4C2C"/>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0"/>
    <w:rsid w:val="00EC4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0"/>
    <w:rsid w:val="00EC4C2C"/>
    <w:pPr>
      <w:pBdr>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0"/>
    <w:rsid w:val="00EC4C2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0"/>
    <w:rsid w:val="00EC4C2C"/>
    <w:pPr>
      <w:pBdr>
        <w:bottom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16">
    <w:name w:val="xl116"/>
    <w:basedOn w:val="a0"/>
    <w:rsid w:val="00EC4C2C"/>
    <w:pPr>
      <w:pBdr>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7">
    <w:name w:val="xl117"/>
    <w:basedOn w:val="a0"/>
    <w:rsid w:val="00EC4C2C"/>
    <w:pPr>
      <w:pBdr>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8">
    <w:name w:val="xl118"/>
    <w:basedOn w:val="a0"/>
    <w:rsid w:val="00EC4C2C"/>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9">
    <w:name w:val="xl119"/>
    <w:basedOn w:val="a0"/>
    <w:rsid w:val="00EC4C2C"/>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0">
    <w:name w:val="xl120"/>
    <w:basedOn w:val="a0"/>
    <w:rsid w:val="00EC4C2C"/>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1">
    <w:name w:val="xl121"/>
    <w:basedOn w:val="a0"/>
    <w:rsid w:val="00EC4C2C"/>
    <w:pPr>
      <w:pBdr>
        <w:top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0"/>
    <w:rsid w:val="00EC4C2C"/>
    <w:pPr>
      <w:pBdr>
        <w:top w:val="single" w:sz="8" w:space="0" w:color="auto"/>
        <w:lef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0"/>
    <w:rsid w:val="00EC4C2C"/>
    <w:pPr>
      <w:pBdr>
        <w:left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0"/>
    <w:rsid w:val="00EC4C2C"/>
    <w:pPr>
      <w:pBdr>
        <w:left w:val="single" w:sz="8" w:space="0" w:color="000000"/>
        <w:bottom w:val="single" w:sz="8"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25">
    <w:name w:val="xl125"/>
    <w:basedOn w:val="a0"/>
    <w:rsid w:val="00EC4C2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EC4C2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0"/>
    <w:rsid w:val="00EC4C2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0"/>
    <w:rsid w:val="00EC4C2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0"/>
    <w:rsid w:val="00EC4C2C"/>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20739042">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minfin.gov.ru/ru/document/?id_4=13539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DBCB0-3AC4-46AB-86A7-66B388C37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4010</Words>
  <Characters>22860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2026-06-24T13:29:00Z</dcterms:created>
  <dcterms:modified xsi:type="dcterms:W3CDTF">2026-06-24T13:29:00Z</dcterms:modified>
</cp:coreProperties>
</file>