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05-07/1288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1012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должен быть не менее 12 (двенадцати) месяцев, а если общий срок годности Товара составляет менее 12 (двенадцати) месяцев,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0" w:type="auto"/>
        <w:tblLook w:val="04A0" w:firstRow="1" w:lastRow="0" w:firstColumn="1" w:lastColumn="0" w:noHBand="0" w:noVBand="1"/>
      </w:tblPr>
      <w:tblGrid>
        <w:gridCol w:w="2113"/>
        <w:gridCol w:w="1278"/>
        <w:gridCol w:w="2184"/>
        <w:gridCol w:w="1495"/>
        <w:gridCol w:w="1495"/>
        <w:gridCol w:w="1495"/>
        <w:gridCol w:w="1167"/>
        <w:gridCol w:w="1069"/>
        <w:gridCol w:w="1488"/>
        <w:gridCol w:w="777"/>
        <w:gridCol w:w="625"/>
        <w:gridCol w:w="763"/>
      </w:tblGrid>
      <w:tr w:rsidR="00AD4A46" w:rsidRPr="00AD4A46" w:rsidTr="00AD4A46">
        <w:trPr>
          <w:trHeight w:val="402"/>
        </w:trPr>
        <w:tc>
          <w:tcPr>
            <w:tcW w:w="120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Наименование товара, работы, услуги</w:t>
            </w:r>
          </w:p>
        </w:tc>
        <w:tc>
          <w:tcPr>
            <w:tcW w:w="730"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Код позиции</w:t>
            </w:r>
          </w:p>
        </w:tc>
        <w:tc>
          <w:tcPr>
            <w:tcW w:w="3924" w:type="dxa"/>
            <w:gridSpan w:val="4"/>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Характеристики товара, работы, услуги</w:t>
            </w:r>
          </w:p>
        </w:tc>
        <w:tc>
          <w:tcPr>
            <w:tcW w:w="708"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Количество (объем работы, услуги)</w:t>
            </w:r>
          </w:p>
        </w:tc>
        <w:tc>
          <w:tcPr>
            <w:tcW w:w="658"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Единица измерения</w:t>
            </w:r>
          </w:p>
        </w:tc>
        <w:tc>
          <w:tcPr>
            <w:tcW w:w="86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Страна происхождения Товара</w:t>
            </w:r>
          </w:p>
        </w:tc>
        <w:tc>
          <w:tcPr>
            <w:tcW w:w="52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Ставка НДС%</w:t>
            </w:r>
          </w:p>
        </w:tc>
        <w:tc>
          <w:tcPr>
            <w:tcW w:w="461" w:type="dxa"/>
            <w:vMerge w:val="restart"/>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Цена за ед. без НДС</w:t>
            </w:r>
          </w:p>
        </w:tc>
        <w:tc>
          <w:tcPr>
            <w:tcW w:w="500" w:type="dxa"/>
            <w:vMerge w:val="restart"/>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Сумма без НДС</w:t>
            </w: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Наименование характеристики</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Значение характеристики</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Единица измерения характеристики</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bCs/>
                <w:sz w:val="20"/>
                <w:szCs w:val="20"/>
              </w:rPr>
              <w:t>Инструкция по заполнению характеристик в заявке</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Держатель/электрод эндоскопический электрохирургический, монополярный, одноразового использования</w:t>
            </w:r>
          </w:p>
        </w:tc>
        <w:tc>
          <w:tcPr>
            <w:tcW w:w="730"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32.50.50.190-00001173*</w:t>
            </w: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Предназначено для рассечения и коагуляции мягких тканей ВЧ током генераторов и позволяет хирургу контролировать энергию монополярного электрода из стерильной</w:t>
            </w:r>
          </w:p>
        </w:tc>
        <w:tc>
          <w:tcPr>
            <w:tcW w:w="894"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val="restart"/>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81</w:t>
            </w:r>
          </w:p>
        </w:tc>
        <w:tc>
          <w:tcPr>
            <w:tcW w:w="658"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шт</w:t>
            </w:r>
          </w:p>
        </w:tc>
        <w:tc>
          <w:tcPr>
            <w:tcW w:w="86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52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461" w:type="dxa"/>
            <w:vMerge w:val="restart"/>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500" w:type="dxa"/>
            <w:vMerge w:val="restart"/>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области операционного поля.</w:t>
            </w:r>
          </w:p>
        </w:tc>
        <w:tc>
          <w:tcPr>
            <w:tcW w:w="894" w:type="dxa"/>
            <w:vMerge/>
            <w:hideMark/>
          </w:tcPr>
          <w:p w:rsidR="00AD4A46" w:rsidRPr="00AD4A46" w:rsidRDefault="00AD4A46">
            <w:pPr>
              <w:rPr>
                <w:rFonts w:ascii="Times New Roman" w:hAnsi="Times New Roman" w:cs="Times New Roman"/>
                <w:sz w:val="20"/>
                <w:szCs w:val="20"/>
              </w:rPr>
            </w:pPr>
          </w:p>
        </w:tc>
        <w:tc>
          <w:tcPr>
            <w:tcW w:w="894" w:type="dxa"/>
            <w:vMerge/>
            <w:hideMark/>
          </w:tcPr>
          <w:p w:rsidR="00AD4A46" w:rsidRPr="00AD4A46" w:rsidRDefault="00AD4A46">
            <w:pPr>
              <w:rPr>
                <w:rFonts w:ascii="Times New Roman" w:hAnsi="Times New Roman" w:cs="Times New Roman"/>
                <w:sz w:val="20"/>
                <w:szCs w:val="20"/>
              </w:rPr>
            </w:pPr>
          </w:p>
        </w:tc>
        <w:tc>
          <w:tcPr>
            <w:tcW w:w="894" w:type="dxa"/>
            <w:vMerge/>
            <w:hideMark/>
          </w:tcPr>
          <w:p w:rsidR="00AD4A46" w:rsidRPr="00AD4A46" w:rsidRDefault="00AD4A46">
            <w:pPr>
              <w:rPr>
                <w:rFonts w:ascii="Times New Roman" w:hAnsi="Times New Roman" w:cs="Times New Roman"/>
                <w:sz w:val="20"/>
                <w:szCs w:val="20"/>
              </w:rPr>
            </w:pP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Устройство совместимо с аппаратом электрохирургическим Force Triad, платформой энергетической серии FT Valleylab FT10</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Устройство имеет 3-х кнопочный переключатель активации режимов с цветовой кодировкой</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Корпус устройства выполнен со вставками, препятствующими выскальзыванию инструмента из рук пользователя во влажной среде</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Корпус устройства имеет двусторонний ползунковый переключатель мощности, регулирующий подачу энергии во всех  используемых режимах</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Перемещение ползункового переключателя регулирует 5 уровней выходной мощности используемого режима</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Устройство имеет неразъемный кабель длиной 3 м из термопластичного эластомера</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Кабель устройства имеет штепсельную вилку  для фиксации в подходящей монополярной розетке генератора</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Штепсельная вилка имеет один силовой штырек, 4 сигнальных контакта и 2 пластиковых штифта выравнивания</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Штепсель снабжен этикеткой штрих-кода, позволяющей идентифицировать устройство генератором для автоматического предъявления меню настроек</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Устройство укомплектовано сменным электродом-лезвием с антипригарным покрытием</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Устройство поддерживает работу монополярных электродов разной формы с установочным диаметром 2,4 мм</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Устройство поставляется в комплекте с пластиковым чехлом-держателем инструмента для использования во время операции</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Электрохирургическое устройство является изделием одноразового использования</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Электрохирургическое устройство является изделием класса IIb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Электрохирургическое устройство может использоваться при максимальном пиковом напряжении 4000 В</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Абразивная подушечка для чистки электродов</w:t>
            </w:r>
          </w:p>
        </w:tc>
        <w:tc>
          <w:tcPr>
            <w:tcW w:w="730"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32.50.50.190</w:t>
            </w: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Предназначен для очистки активных электродов от нагара во время хирургической операции</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val="restart"/>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4</w:t>
            </w:r>
          </w:p>
        </w:tc>
        <w:tc>
          <w:tcPr>
            <w:tcW w:w="658"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упак</w:t>
            </w:r>
          </w:p>
        </w:tc>
        <w:tc>
          <w:tcPr>
            <w:tcW w:w="86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523"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461" w:type="dxa"/>
            <w:vMerge w:val="restart"/>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500" w:type="dxa"/>
            <w:vMerge w:val="restart"/>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Представляет собой стерильную абразивную пластину на губчатой подложке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Размер абразива</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5х5</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см</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Подложка из поролона синего цвета</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Имеет клейкое основание для надежного крепления к поверхности</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Срок стерильности указан на упаковке</w:t>
            </w:r>
          </w:p>
        </w:tc>
        <w:tc>
          <w:tcPr>
            <w:tcW w:w="894"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vMerge w:val="restart"/>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Одноразовый</w:t>
            </w:r>
          </w:p>
        </w:tc>
        <w:tc>
          <w:tcPr>
            <w:tcW w:w="894" w:type="dxa"/>
            <w:vMerge/>
            <w:hideMark/>
          </w:tcPr>
          <w:p w:rsidR="00AD4A46" w:rsidRPr="00AD4A46" w:rsidRDefault="00AD4A46">
            <w:pPr>
              <w:rPr>
                <w:rFonts w:ascii="Times New Roman" w:hAnsi="Times New Roman" w:cs="Times New Roman"/>
                <w:sz w:val="20"/>
                <w:szCs w:val="20"/>
              </w:rPr>
            </w:pPr>
          </w:p>
        </w:tc>
        <w:tc>
          <w:tcPr>
            <w:tcW w:w="894" w:type="dxa"/>
            <w:vMerge/>
            <w:hideMark/>
          </w:tcPr>
          <w:p w:rsidR="00AD4A46" w:rsidRPr="00AD4A46" w:rsidRDefault="00AD4A46">
            <w:pPr>
              <w:rPr>
                <w:rFonts w:ascii="Times New Roman" w:hAnsi="Times New Roman" w:cs="Times New Roman"/>
                <w:sz w:val="20"/>
                <w:szCs w:val="20"/>
              </w:rPr>
            </w:pPr>
          </w:p>
        </w:tc>
        <w:tc>
          <w:tcPr>
            <w:tcW w:w="894" w:type="dxa"/>
            <w:vMerge/>
            <w:hideMark/>
          </w:tcPr>
          <w:p w:rsidR="00AD4A46" w:rsidRPr="00AD4A46" w:rsidRDefault="00AD4A46">
            <w:pPr>
              <w:rPr>
                <w:rFonts w:ascii="Times New Roman" w:hAnsi="Times New Roman" w:cs="Times New Roman"/>
                <w:sz w:val="20"/>
                <w:szCs w:val="20"/>
              </w:rPr>
            </w:pP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Количество штук в упаковке</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не менее 12</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штука</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Участник закупки указывает конкретный показатель</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Держатель электрода электрохирургический, многоразового использования</w:t>
            </w:r>
          </w:p>
        </w:tc>
        <w:tc>
          <w:tcPr>
            <w:tcW w:w="730"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32.50.50.190-00001083*</w:t>
            </w: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Предназначен для резания и коагуляции ВЧ током электрохирургических генераторов</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36</w:t>
            </w:r>
          </w:p>
        </w:tc>
        <w:tc>
          <w:tcPr>
            <w:tcW w:w="658"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шт</w:t>
            </w:r>
          </w:p>
        </w:tc>
        <w:tc>
          <w:tcPr>
            <w:tcW w:w="863"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523"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461"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500"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w:t>
            </w: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1-штырьковый коннектор для подключения к генераторам Erbe</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Покрытие контактных штырей</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Количество раздельных клавиш ручной активации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2</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штука</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Функции клавиш ручной активации «резание» и «коагуляция»</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Цветовая маркировка переключателей (желтый / синий)</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Длина  кабеля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не менее 4,5</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метр</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Участник закупки указывает конкретный показатель</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лезвия из нержавеющей стали с шестигранным фиксатором электрода</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Поддерживает работу стандартных монополярных электродов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Соответствует</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Посадочный диаметр монополярных электродов</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2,4</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мм</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Габаритный размеры держателя   (Д ×Ш×В)</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Не более 216х16х14</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Участник закупки указывает конкретный показатель</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Габаритные размеры кулисного переключателя (Д ×Ш×В)</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Не более 34х10х4</w:t>
            </w:r>
          </w:p>
        </w:tc>
        <w:tc>
          <w:tcPr>
            <w:tcW w:w="894" w:type="dxa"/>
            <w:noWrap/>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Участник закупки указывает конкретный показатель</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Электрод электрохирургический для открытых операций, монополярный, одноразового использования</w:t>
            </w:r>
          </w:p>
        </w:tc>
        <w:tc>
          <w:tcPr>
            <w:tcW w:w="730"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32.50.50.190-00000803*</w:t>
            </w: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Электрод предназначен для монополярного электрохирургического рассечения и коагуляции мягких тканей.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Соответствие</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150</w:t>
            </w:r>
          </w:p>
        </w:tc>
        <w:tc>
          <w:tcPr>
            <w:tcW w:w="658"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шт</w:t>
            </w:r>
          </w:p>
        </w:tc>
        <w:tc>
          <w:tcPr>
            <w:tcW w:w="863"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523"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461"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500" w:type="dxa"/>
            <w:vMerge w:val="restart"/>
            <w:noWrap/>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w:t>
            </w: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Используется со стандартными монополярными электрохирургическими инструментами в качестве альтернативы стальным электродам без покрытия.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Соответствие</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Общая длина электрода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≥16,51</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см</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Участник закупки указывает конкретный показатель</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Длина рабочей части электрода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25,4 и ≤ 28</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см</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Участник закупки указывает конкретный показатель</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 Посадочный диаметр коннектора электрода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 2,3 и ≤ 2,5</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мм</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Участник закупки указывает конкретный показатель</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Рабочая часть электрода имеет антипригарное покрытие предупреждающее налипание высушенной ткани.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Соответствие</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Материал покрытия -  эластомерный </w:t>
            </w:r>
            <w:r w:rsidR="008773F3" w:rsidRPr="00AD4A46">
              <w:rPr>
                <w:rFonts w:ascii="Times New Roman" w:hAnsi="Times New Roman" w:cs="Times New Roman"/>
                <w:sz w:val="20"/>
                <w:szCs w:val="20"/>
              </w:rPr>
              <w:t>силикон.</w:t>
            </w:r>
            <w:r w:rsidRPr="00AD4A46">
              <w:rPr>
                <w:rFonts w:ascii="Times New Roman" w:hAnsi="Times New Roman" w:cs="Times New Roman"/>
                <w:sz w:val="20"/>
                <w:szCs w:val="20"/>
              </w:rPr>
              <w:t xml:space="preserve"> При необходимости электрод может быть изогнут на 90 градусов без повреждения антипригарного покрытия.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Соответствие</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максимальное напряжение тока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5600</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В</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xml:space="preserve">Одноразовый. </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Соответствие</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r w:rsidR="00AD4A46" w:rsidRPr="00AD4A46" w:rsidTr="00AD4A46">
        <w:trPr>
          <w:trHeight w:val="402"/>
        </w:trPr>
        <w:tc>
          <w:tcPr>
            <w:tcW w:w="1203" w:type="dxa"/>
            <w:vMerge/>
            <w:hideMark/>
          </w:tcPr>
          <w:p w:rsidR="00AD4A46" w:rsidRPr="00AD4A46" w:rsidRDefault="00AD4A46">
            <w:pPr>
              <w:rPr>
                <w:rFonts w:ascii="Times New Roman" w:hAnsi="Times New Roman" w:cs="Times New Roman"/>
                <w:sz w:val="20"/>
                <w:szCs w:val="20"/>
              </w:rPr>
            </w:pPr>
          </w:p>
        </w:tc>
        <w:tc>
          <w:tcPr>
            <w:tcW w:w="730" w:type="dxa"/>
            <w:vMerge/>
            <w:hideMark/>
          </w:tcPr>
          <w:p w:rsidR="00AD4A46" w:rsidRPr="00AD4A46" w:rsidRDefault="00AD4A46">
            <w:pPr>
              <w:rPr>
                <w:rFonts w:ascii="Times New Roman" w:hAnsi="Times New Roman" w:cs="Times New Roman"/>
                <w:sz w:val="20"/>
                <w:szCs w:val="20"/>
              </w:rPr>
            </w:pPr>
          </w:p>
        </w:tc>
        <w:tc>
          <w:tcPr>
            <w:tcW w:w="1242"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Упакован стерильно.</w:t>
            </w:r>
          </w:p>
        </w:tc>
        <w:tc>
          <w:tcPr>
            <w:tcW w:w="894" w:type="dxa"/>
            <w:hideMark/>
          </w:tcPr>
          <w:p w:rsidR="00AD4A46" w:rsidRPr="00AD4A46" w:rsidRDefault="00AD4A46" w:rsidP="00AD4A46">
            <w:pPr>
              <w:rPr>
                <w:rFonts w:ascii="Times New Roman" w:hAnsi="Times New Roman" w:cs="Times New Roman"/>
                <w:sz w:val="20"/>
                <w:szCs w:val="20"/>
              </w:rPr>
            </w:pPr>
            <w:r w:rsidRPr="00AD4A46">
              <w:rPr>
                <w:rFonts w:ascii="Times New Roman" w:hAnsi="Times New Roman" w:cs="Times New Roman"/>
                <w:sz w:val="20"/>
                <w:szCs w:val="20"/>
              </w:rPr>
              <w:t>Соответствие</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 </w:t>
            </w:r>
          </w:p>
        </w:tc>
        <w:tc>
          <w:tcPr>
            <w:tcW w:w="894" w:type="dxa"/>
            <w:hideMark/>
          </w:tcPr>
          <w:p w:rsidR="00AD4A46" w:rsidRPr="00AD4A46" w:rsidRDefault="00AD4A46">
            <w:pPr>
              <w:rPr>
                <w:rFonts w:ascii="Times New Roman" w:hAnsi="Times New Roman" w:cs="Times New Roman"/>
                <w:sz w:val="20"/>
                <w:szCs w:val="20"/>
              </w:rPr>
            </w:pPr>
            <w:r w:rsidRPr="00AD4A46">
              <w:rPr>
                <w:rFonts w:ascii="Times New Roman" w:hAnsi="Times New Roman" w:cs="Times New Roman"/>
                <w:sz w:val="20"/>
                <w:szCs w:val="20"/>
              </w:rPr>
              <w:t>Значение характеристики не может изменяться участником закупки</w:t>
            </w:r>
          </w:p>
        </w:tc>
        <w:tc>
          <w:tcPr>
            <w:tcW w:w="708" w:type="dxa"/>
            <w:vMerge/>
            <w:hideMark/>
          </w:tcPr>
          <w:p w:rsidR="00AD4A46" w:rsidRPr="00AD4A46" w:rsidRDefault="00AD4A46">
            <w:pPr>
              <w:rPr>
                <w:rFonts w:ascii="Times New Roman" w:hAnsi="Times New Roman" w:cs="Times New Roman"/>
                <w:sz w:val="20"/>
                <w:szCs w:val="20"/>
              </w:rPr>
            </w:pPr>
          </w:p>
        </w:tc>
        <w:tc>
          <w:tcPr>
            <w:tcW w:w="658" w:type="dxa"/>
            <w:vMerge/>
            <w:hideMark/>
          </w:tcPr>
          <w:p w:rsidR="00AD4A46" w:rsidRPr="00AD4A46" w:rsidRDefault="00AD4A46">
            <w:pPr>
              <w:rPr>
                <w:rFonts w:ascii="Times New Roman" w:hAnsi="Times New Roman" w:cs="Times New Roman"/>
                <w:sz w:val="20"/>
                <w:szCs w:val="20"/>
              </w:rPr>
            </w:pPr>
          </w:p>
        </w:tc>
        <w:tc>
          <w:tcPr>
            <w:tcW w:w="863" w:type="dxa"/>
            <w:vMerge/>
            <w:hideMark/>
          </w:tcPr>
          <w:p w:rsidR="00AD4A46" w:rsidRPr="00AD4A46" w:rsidRDefault="00AD4A46">
            <w:pPr>
              <w:rPr>
                <w:rFonts w:ascii="Times New Roman" w:hAnsi="Times New Roman" w:cs="Times New Roman"/>
                <w:sz w:val="20"/>
                <w:szCs w:val="20"/>
              </w:rPr>
            </w:pPr>
          </w:p>
        </w:tc>
        <w:tc>
          <w:tcPr>
            <w:tcW w:w="523" w:type="dxa"/>
            <w:vMerge/>
            <w:hideMark/>
          </w:tcPr>
          <w:p w:rsidR="00AD4A46" w:rsidRPr="00AD4A46" w:rsidRDefault="00AD4A46">
            <w:pPr>
              <w:rPr>
                <w:rFonts w:ascii="Times New Roman" w:hAnsi="Times New Roman" w:cs="Times New Roman"/>
                <w:sz w:val="20"/>
                <w:szCs w:val="20"/>
              </w:rPr>
            </w:pPr>
          </w:p>
        </w:tc>
        <w:tc>
          <w:tcPr>
            <w:tcW w:w="461" w:type="dxa"/>
            <w:vMerge/>
            <w:hideMark/>
          </w:tcPr>
          <w:p w:rsidR="00AD4A46" w:rsidRPr="00AD4A46" w:rsidRDefault="00AD4A46">
            <w:pPr>
              <w:rPr>
                <w:rFonts w:ascii="Times New Roman" w:hAnsi="Times New Roman" w:cs="Times New Roman"/>
                <w:sz w:val="20"/>
                <w:szCs w:val="20"/>
              </w:rPr>
            </w:pPr>
          </w:p>
        </w:tc>
        <w:tc>
          <w:tcPr>
            <w:tcW w:w="500" w:type="dxa"/>
            <w:vMerge/>
            <w:hideMark/>
          </w:tcPr>
          <w:p w:rsidR="00AD4A46" w:rsidRPr="00AD4A46" w:rsidRDefault="00AD4A46">
            <w:pPr>
              <w:rPr>
                <w:rFonts w:ascii="Times New Roman" w:hAnsi="Times New Roman" w:cs="Times New Roman"/>
                <w:sz w:val="20"/>
                <w:szCs w:val="20"/>
              </w:rPr>
            </w:pPr>
          </w:p>
        </w:tc>
      </w:tr>
    </w:tbl>
    <w:p w:rsidR="00AD4A46" w:rsidRDefault="00AD4A46" w:rsidP="00AD4A46">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AD4A46">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AD4A46">
        <w:rPr>
          <w:rFonts w:ascii="Roboto" w:hAnsi="Roboto" w:cs="Roboto"/>
          <w:color w:val="333333"/>
          <w:highlight w:val="white"/>
        </w:rPr>
        <w:t xml:space="preserve"> </w:t>
      </w:r>
      <w:r>
        <w:rPr>
          <w:rFonts w:ascii="Calibri" w:hAnsi="Calibri" w:cs="Calibri"/>
          <w:color w:val="333333"/>
          <w:highlight w:val="white"/>
        </w:rPr>
        <w:t>России</w:t>
      </w:r>
      <w:r w:rsidRPr="00AD4A46">
        <w:rPr>
          <w:rFonts w:ascii="Roboto" w:hAnsi="Roboto" w:cs="Roboto"/>
          <w:color w:val="333333"/>
          <w:highlight w:val="white"/>
        </w:rPr>
        <w:t xml:space="preserve"> </w:t>
      </w:r>
      <w:r>
        <w:rPr>
          <w:rFonts w:ascii="Calibri" w:hAnsi="Calibri" w:cs="Calibri"/>
          <w:color w:val="333333"/>
          <w:highlight w:val="white"/>
        </w:rPr>
        <w:t>от</w:t>
      </w:r>
      <w:r w:rsidRPr="00AD4A46">
        <w:rPr>
          <w:rFonts w:ascii="Roboto" w:hAnsi="Roboto" w:cs="Roboto"/>
          <w:color w:val="333333"/>
          <w:highlight w:val="white"/>
        </w:rPr>
        <w:t xml:space="preserve"> 24 </w:t>
      </w:r>
      <w:r>
        <w:rPr>
          <w:rFonts w:ascii="Calibri" w:hAnsi="Calibri" w:cs="Calibri"/>
          <w:color w:val="333333"/>
          <w:highlight w:val="white"/>
        </w:rPr>
        <w:t>января</w:t>
      </w:r>
      <w:r w:rsidRPr="00AD4A46">
        <w:rPr>
          <w:rFonts w:ascii="Roboto" w:hAnsi="Roboto" w:cs="Roboto"/>
          <w:color w:val="333333"/>
          <w:highlight w:val="white"/>
        </w:rPr>
        <w:t xml:space="preserve"> 2022 </w:t>
      </w:r>
      <w:r>
        <w:rPr>
          <w:rFonts w:ascii="Calibri" w:hAnsi="Calibri" w:cs="Calibri"/>
          <w:color w:val="333333"/>
          <w:highlight w:val="white"/>
        </w:rPr>
        <w:t>г</w:t>
      </w:r>
      <w:r w:rsidRPr="00AD4A46">
        <w:rPr>
          <w:rFonts w:ascii="Roboto" w:hAnsi="Roboto" w:cs="Roboto"/>
          <w:color w:val="333333"/>
          <w:highlight w:val="white"/>
        </w:rPr>
        <w:t xml:space="preserve">. </w:t>
      </w:r>
      <w:r>
        <w:rPr>
          <w:rFonts w:ascii="Roboto" w:hAnsi="Roboto" w:cs="Roboto"/>
          <w:color w:val="333333"/>
          <w:highlight w:val="white"/>
          <w:lang w:val="en-US"/>
        </w:rPr>
        <w:t>N</w:t>
      </w:r>
      <w:r w:rsidRPr="00AD4A46">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AD4A46">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18D" w:rsidRDefault="00D2018D">
      <w:pPr>
        <w:spacing w:after="0" w:line="240" w:lineRule="auto"/>
      </w:pPr>
      <w:r>
        <w:separator/>
      </w:r>
    </w:p>
  </w:endnote>
  <w:endnote w:type="continuationSeparator" w:id="0">
    <w:p w:rsidR="00D2018D" w:rsidRDefault="00D2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10125" w:rsidRDefault="0071012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1012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1012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1012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1012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1012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773F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18D" w:rsidRDefault="00D2018D">
      <w:pPr>
        <w:spacing w:after="0" w:line="240" w:lineRule="auto"/>
      </w:pPr>
      <w:r>
        <w:separator/>
      </w:r>
    </w:p>
  </w:footnote>
  <w:footnote w:type="continuationSeparator" w:id="0">
    <w:p w:rsidR="00D2018D" w:rsidRDefault="00D2018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10125" w:rsidRDefault="0071012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10125" w:rsidRDefault="0071012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10125" w:rsidRDefault="0071012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0125"/>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73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4A46"/>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018D"/>
    <w:rsid w:val="00D2444F"/>
    <w:rsid w:val="00D3148D"/>
    <w:rsid w:val="00D31887"/>
    <w:rsid w:val="00D3448D"/>
    <w:rsid w:val="00D4075D"/>
    <w:rsid w:val="00D60832"/>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35701894">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41697523">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218A-9D55-4197-93B1-5F1AD6A5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2026-06-15T07:43:00Z</dcterms:created>
  <dcterms:modified xsi:type="dcterms:W3CDTF">2026-06-15T07:43:00Z</dcterms:modified>
</cp:coreProperties>
</file>