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21.1-03/1639</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F6234A">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6E6D26">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Taq M полимеразы для научного отдела биологии опухолевого роста</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Договора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30 (тридцати) календарных дней с момента заключения Договора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Срок годности на момент поставки не менее 24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6E6D26">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6E6D26">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6E6D26">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0"/>
        <w:gridCol w:w="2410"/>
        <w:gridCol w:w="4923"/>
        <w:gridCol w:w="1101"/>
        <w:gridCol w:w="952"/>
        <w:gridCol w:w="1553"/>
        <w:gridCol w:w="1402"/>
        <w:gridCol w:w="803"/>
        <w:gridCol w:w="1098"/>
        <w:gridCol w:w="1115"/>
      </w:tblGrid>
      <w:tr w:rsidR="006E6D26" w:rsidRPr="00E814A4" w:rsidTr="001627FE">
        <w:trPr>
          <w:trHeight w:val="524"/>
          <w:jc w:val="center"/>
        </w:trPr>
        <w:tc>
          <w:tcPr>
            <w:tcW w:w="760" w:type="dxa"/>
            <w:tcBorders>
              <w:top w:val="single" w:sz="4" w:space="0" w:color="auto"/>
              <w:left w:val="single" w:sz="4" w:space="0" w:color="auto"/>
              <w:bottom w:val="single" w:sz="4" w:space="0" w:color="auto"/>
              <w:right w:val="single" w:sz="4" w:space="0" w:color="auto"/>
            </w:tcBorders>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Наименование товара</w:t>
            </w:r>
          </w:p>
        </w:tc>
        <w:tc>
          <w:tcPr>
            <w:tcW w:w="4923" w:type="dxa"/>
            <w:tcBorders>
              <w:top w:val="single" w:sz="4" w:space="0" w:color="auto"/>
              <w:left w:val="single" w:sz="4" w:space="0" w:color="auto"/>
              <w:bottom w:val="single" w:sz="4" w:space="0" w:color="auto"/>
              <w:right w:val="single" w:sz="4" w:space="0" w:color="auto"/>
            </w:tcBorders>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Требования к качеству, техническим и функциональным характеристикам товара</w:t>
            </w:r>
          </w:p>
        </w:tc>
        <w:tc>
          <w:tcPr>
            <w:tcW w:w="1101" w:type="dxa"/>
            <w:tcBorders>
              <w:top w:val="single" w:sz="4" w:space="0" w:color="auto"/>
              <w:left w:val="single" w:sz="4" w:space="0" w:color="auto"/>
              <w:bottom w:val="single" w:sz="4" w:space="0" w:color="auto"/>
              <w:right w:val="single" w:sz="4" w:space="0" w:color="auto"/>
            </w:tcBorders>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Кол-во</w:t>
            </w:r>
          </w:p>
        </w:tc>
        <w:tc>
          <w:tcPr>
            <w:tcW w:w="952" w:type="dxa"/>
            <w:tcBorders>
              <w:top w:val="single" w:sz="4" w:space="0" w:color="auto"/>
              <w:left w:val="single" w:sz="4" w:space="0" w:color="auto"/>
              <w:bottom w:val="single" w:sz="4" w:space="0" w:color="auto"/>
              <w:right w:val="single" w:sz="4" w:space="0" w:color="auto"/>
            </w:tcBorders>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Ед. изм.</w:t>
            </w:r>
          </w:p>
        </w:tc>
        <w:tc>
          <w:tcPr>
            <w:tcW w:w="1553" w:type="dxa"/>
            <w:tcBorders>
              <w:top w:val="single" w:sz="4" w:space="0" w:color="auto"/>
              <w:left w:val="single" w:sz="4" w:space="0" w:color="auto"/>
              <w:bottom w:val="single" w:sz="4" w:space="0" w:color="auto"/>
              <w:right w:val="single" w:sz="4" w:space="0" w:color="auto"/>
            </w:tcBorders>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ОКПД2/ КТРУ</w:t>
            </w:r>
          </w:p>
        </w:tc>
        <w:tc>
          <w:tcPr>
            <w:tcW w:w="1402"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Страна происхождения</w:t>
            </w:r>
          </w:p>
        </w:tc>
        <w:tc>
          <w:tcPr>
            <w:tcW w:w="803"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НДС %</w:t>
            </w:r>
          </w:p>
        </w:tc>
        <w:tc>
          <w:tcPr>
            <w:tcW w:w="1098"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Цена за ед. с НДС (руб.)</w:t>
            </w:r>
          </w:p>
        </w:tc>
        <w:tc>
          <w:tcPr>
            <w:tcW w:w="1115" w:type="dxa"/>
            <w:tcBorders>
              <w:top w:val="single" w:sz="4" w:space="0" w:color="auto"/>
              <w:left w:val="single" w:sz="4" w:space="0" w:color="auto"/>
              <w:bottom w:val="single" w:sz="4" w:space="0" w:color="auto"/>
              <w:right w:val="single" w:sz="4" w:space="0" w:color="auto"/>
            </w:tcBorders>
            <w:shd w:val="clear" w:color="auto" w:fill="FFFFCC"/>
            <w:vAlign w:val="center"/>
            <w:hideMark/>
          </w:tcPr>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Сумма с</w:t>
            </w:r>
          </w:p>
          <w:p w:rsidR="006E6D26" w:rsidRPr="00E814A4" w:rsidRDefault="006E6D26" w:rsidP="001627FE">
            <w:pPr>
              <w:pStyle w:val="af7"/>
              <w:spacing w:line="276" w:lineRule="auto"/>
              <w:jc w:val="center"/>
              <w:rPr>
                <w:rFonts w:ascii="Times New Roman" w:hAnsi="Times New Roman"/>
                <w:b/>
                <w:lang w:eastAsia="en-US"/>
              </w:rPr>
            </w:pPr>
            <w:r w:rsidRPr="00E814A4">
              <w:rPr>
                <w:rFonts w:ascii="Times New Roman" w:hAnsi="Times New Roman"/>
                <w:b/>
                <w:lang w:eastAsia="en-US"/>
              </w:rPr>
              <w:t>НДС (руб.)</w:t>
            </w:r>
          </w:p>
        </w:tc>
      </w:tr>
      <w:tr w:rsidR="006E6D26" w:rsidRPr="00E814A4" w:rsidTr="001627FE">
        <w:trPr>
          <w:trHeight w:val="20"/>
          <w:jc w:val="center"/>
        </w:trPr>
        <w:tc>
          <w:tcPr>
            <w:tcW w:w="760" w:type="dxa"/>
            <w:tcBorders>
              <w:top w:val="single" w:sz="4" w:space="0" w:color="auto"/>
              <w:left w:val="single" w:sz="4" w:space="0" w:color="auto"/>
              <w:bottom w:val="single" w:sz="4" w:space="0" w:color="auto"/>
              <w:right w:val="single" w:sz="4" w:space="0" w:color="auto"/>
            </w:tcBorders>
          </w:tcPr>
          <w:p w:rsidR="006E6D26" w:rsidRPr="00E814A4" w:rsidRDefault="006E6D26" w:rsidP="00E814A4">
            <w:pPr>
              <w:pStyle w:val="af7"/>
              <w:spacing w:line="276" w:lineRule="auto"/>
              <w:jc w:val="center"/>
              <w:rPr>
                <w:rFonts w:ascii="Times New Roman" w:hAnsi="Times New Roman"/>
                <w:lang w:eastAsia="en-US"/>
              </w:rPr>
            </w:pPr>
            <w:r w:rsidRPr="00E814A4">
              <w:rPr>
                <w:rFonts w:ascii="Times New Roman" w:hAnsi="Times New Roman"/>
                <w:lang w:eastAsia="en-US"/>
              </w:rPr>
              <w:t>1</w:t>
            </w:r>
          </w:p>
        </w:tc>
        <w:tc>
          <w:tcPr>
            <w:tcW w:w="2410" w:type="dxa"/>
            <w:tcBorders>
              <w:top w:val="single" w:sz="4" w:space="0" w:color="auto"/>
              <w:left w:val="single" w:sz="4" w:space="0" w:color="auto"/>
              <w:bottom w:val="single" w:sz="4" w:space="0" w:color="auto"/>
              <w:right w:val="single" w:sz="4" w:space="0" w:color="auto"/>
            </w:tcBorders>
          </w:tcPr>
          <w:p w:rsidR="006E6D26" w:rsidRPr="00E814A4" w:rsidRDefault="006E6D26" w:rsidP="00E814A4">
            <w:pPr>
              <w:pStyle w:val="af7"/>
              <w:tabs>
                <w:tab w:val="left" w:pos="432"/>
              </w:tabs>
              <w:spacing w:line="276" w:lineRule="auto"/>
              <w:jc w:val="center"/>
              <w:rPr>
                <w:rFonts w:ascii="Times New Roman" w:hAnsi="Times New Roman"/>
                <w:lang w:eastAsia="en-US"/>
              </w:rPr>
            </w:pPr>
            <w:r w:rsidRPr="00E814A4">
              <w:rPr>
                <w:rFonts w:ascii="Times New Roman" w:hAnsi="Times New Roman"/>
              </w:rPr>
              <w:t>Taq M полимераза</w:t>
            </w:r>
          </w:p>
        </w:tc>
        <w:tc>
          <w:tcPr>
            <w:tcW w:w="4923" w:type="dxa"/>
            <w:tcBorders>
              <w:top w:val="single" w:sz="4" w:space="0" w:color="auto"/>
              <w:left w:val="single" w:sz="4" w:space="0" w:color="auto"/>
              <w:bottom w:val="single" w:sz="4" w:space="0" w:color="auto"/>
              <w:right w:val="single" w:sz="4" w:space="0" w:color="auto"/>
            </w:tcBorders>
            <w:shd w:val="clear" w:color="auto" w:fill="FFFFFF" w:themeFill="background1"/>
          </w:tcPr>
          <w:p w:rsidR="006E6D26" w:rsidRPr="00E814A4" w:rsidRDefault="006E6D26" w:rsidP="006E6D26">
            <w:pPr>
              <w:pStyle w:val="af7"/>
              <w:rPr>
                <w:rFonts w:ascii="Times New Roman" w:hAnsi="Times New Roman"/>
                <w:lang w:eastAsia="en-US"/>
              </w:rPr>
            </w:pPr>
            <w:r w:rsidRPr="00E814A4">
              <w:rPr>
                <w:rFonts w:ascii="Times New Roman" w:hAnsi="Times New Roman"/>
                <w:lang w:eastAsia="en-US"/>
              </w:rPr>
              <w:t>Taq ДНК полимераза с реакционным буфером и раствором Mg2+</w:t>
            </w:r>
          </w:p>
          <w:p w:rsidR="006E6D26" w:rsidRPr="00E814A4" w:rsidRDefault="006E6D26" w:rsidP="006E6D26">
            <w:pPr>
              <w:pStyle w:val="af7"/>
              <w:rPr>
                <w:rFonts w:ascii="Times New Roman" w:hAnsi="Times New Roman"/>
                <w:lang w:eastAsia="en-US"/>
              </w:rPr>
            </w:pPr>
            <w:r w:rsidRPr="00E814A4">
              <w:rPr>
                <w:rFonts w:ascii="Times New Roman" w:hAnsi="Times New Roman"/>
                <w:lang w:eastAsia="en-US"/>
              </w:rPr>
              <w:t>Taq ДНК полимераза с химической модификацией в активном центре для обеспечения высокоэффективного горячего старта</w:t>
            </w:r>
          </w:p>
          <w:p w:rsidR="006E6D26" w:rsidRPr="00E814A4" w:rsidRDefault="006E6D26" w:rsidP="006E6D26">
            <w:pPr>
              <w:pStyle w:val="af7"/>
              <w:rPr>
                <w:rFonts w:ascii="Times New Roman" w:hAnsi="Times New Roman"/>
                <w:lang w:eastAsia="en-US"/>
              </w:rPr>
            </w:pPr>
            <w:r w:rsidRPr="00E814A4">
              <w:rPr>
                <w:rFonts w:ascii="Times New Roman" w:hAnsi="Times New Roman"/>
                <w:lang w:eastAsia="en-US"/>
              </w:rPr>
              <w:t>Запуск реакции при прогреве в течение 15 мин при 95°С</w:t>
            </w:r>
          </w:p>
          <w:p w:rsidR="006E6D26" w:rsidRPr="00E814A4" w:rsidRDefault="006E6D26" w:rsidP="006E6D26">
            <w:pPr>
              <w:pStyle w:val="af7"/>
              <w:rPr>
                <w:rFonts w:ascii="Times New Roman" w:hAnsi="Times New Roman"/>
                <w:lang w:eastAsia="en-US"/>
              </w:rPr>
            </w:pPr>
            <w:r w:rsidRPr="00E814A4">
              <w:rPr>
                <w:rFonts w:ascii="Times New Roman" w:hAnsi="Times New Roman"/>
                <w:lang w:eastAsia="en-US"/>
              </w:rPr>
              <w:t xml:space="preserve">ПЦР </w:t>
            </w:r>
            <w:r w:rsidR="001607B5" w:rsidRPr="00E814A4">
              <w:rPr>
                <w:rFonts w:ascii="Times New Roman" w:hAnsi="Times New Roman"/>
                <w:lang w:eastAsia="en-US"/>
              </w:rPr>
              <w:t>буфер,</w:t>
            </w:r>
            <w:r w:rsidRPr="00E814A4">
              <w:rPr>
                <w:rFonts w:ascii="Times New Roman" w:hAnsi="Times New Roman"/>
                <w:lang w:eastAsia="en-US"/>
              </w:rPr>
              <w:t xml:space="preserve"> входящий в состав подходит для высокоспецифичной ПЦР, высокочувствительной ПЦР, мультиплексной ПЦР, ПЦР в режиме реального времени.</w:t>
            </w:r>
          </w:p>
          <w:p w:rsidR="006E6D26" w:rsidRPr="00E814A4" w:rsidRDefault="006E6D26" w:rsidP="006E6D26">
            <w:pPr>
              <w:pStyle w:val="af7"/>
              <w:rPr>
                <w:rFonts w:ascii="Times New Roman" w:hAnsi="Times New Roman"/>
                <w:lang w:eastAsia="en-US"/>
              </w:rPr>
            </w:pPr>
            <w:r w:rsidRPr="00E814A4">
              <w:rPr>
                <w:rFonts w:ascii="Times New Roman" w:hAnsi="Times New Roman"/>
                <w:lang w:eastAsia="en-US"/>
              </w:rPr>
              <w:t>Объем: 10 000 e.a.</w:t>
            </w:r>
          </w:p>
          <w:p w:rsidR="006E6D26" w:rsidRPr="00E814A4" w:rsidRDefault="006E6D26" w:rsidP="006E6D26">
            <w:pPr>
              <w:pStyle w:val="af7"/>
              <w:rPr>
                <w:rFonts w:ascii="Times New Roman" w:hAnsi="Times New Roman"/>
                <w:lang w:eastAsia="en-US"/>
              </w:rPr>
            </w:pPr>
            <w:r w:rsidRPr="00E814A4">
              <w:rPr>
                <w:rFonts w:ascii="Times New Roman" w:hAnsi="Times New Roman"/>
                <w:lang w:eastAsia="en-US"/>
              </w:rPr>
              <w:t>Условия хранения: -18…-30°С</w:t>
            </w:r>
          </w:p>
          <w:p w:rsidR="00131990" w:rsidRDefault="00131990" w:rsidP="006E6D26">
            <w:pPr>
              <w:pStyle w:val="af7"/>
              <w:spacing w:line="276" w:lineRule="auto"/>
              <w:rPr>
                <w:rFonts w:ascii="Times New Roman" w:hAnsi="Times New Roman"/>
                <w:lang w:eastAsia="en-US"/>
              </w:rPr>
            </w:pPr>
            <w:r>
              <w:rPr>
                <w:rFonts w:ascii="Times New Roman" w:hAnsi="Times New Roman"/>
                <w:lang w:eastAsia="en-US"/>
              </w:rPr>
              <w:t>Условия транспортировки: -18…</w:t>
            </w:r>
            <w:r w:rsidR="006E6D26" w:rsidRPr="00E814A4">
              <w:rPr>
                <w:rFonts w:ascii="Times New Roman" w:hAnsi="Times New Roman"/>
                <w:lang w:eastAsia="en-US"/>
              </w:rPr>
              <w:t>30°С.</w:t>
            </w:r>
          </w:p>
          <w:p w:rsidR="006E6D26" w:rsidRPr="00E814A4" w:rsidRDefault="006E6D26" w:rsidP="006E6D26">
            <w:pPr>
              <w:pStyle w:val="af7"/>
              <w:spacing w:line="276" w:lineRule="auto"/>
              <w:rPr>
                <w:rFonts w:ascii="Times New Roman" w:hAnsi="Times New Roman"/>
                <w:lang w:eastAsia="en-US"/>
              </w:rPr>
            </w:pPr>
            <w:r w:rsidRPr="00E814A4">
              <w:rPr>
                <w:rFonts w:ascii="Times New Roman" w:hAnsi="Times New Roman"/>
                <w:lang w:eastAsia="en-US"/>
              </w:rPr>
              <w:t>Допускается краткосрочная (до 7 суток) транспортировка при температуре не выше + 25 °С с использованием хладагентов.</w:t>
            </w:r>
          </w:p>
        </w:tc>
        <w:tc>
          <w:tcPr>
            <w:tcW w:w="1101" w:type="dxa"/>
            <w:tcBorders>
              <w:top w:val="single" w:sz="4" w:space="0" w:color="auto"/>
              <w:left w:val="single" w:sz="4" w:space="0" w:color="auto"/>
              <w:bottom w:val="single" w:sz="4" w:space="0" w:color="auto"/>
              <w:right w:val="single" w:sz="4" w:space="0" w:color="auto"/>
            </w:tcBorders>
          </w:tcPr>
          <w:p w:rsidR="006E6D26" w:rsidRPr="00E814A4" w:rsidRDefault="006E6D26" w:rsidP="001627FE">
            <w:pPr>
              <w:pStyle w:val="af7"/>
              <w:spacing w:line="276" w:lineRule="auto"/>
              <w:jc w:val="center"/>
              <w:rPr>
                <w:rFonts w:ascii="Times New Roman" w:hAnsi="Times New Roman"/>
                <w:lang w:eastAsia="en-US"/>
              </w:rPr>
            </w:pPr>
            <w:r w:rsidRPr="00E814A4">
              <w:rPr>
                <w:rFonts w:ascii="Times New Roman" w:hAnsi="Times New Roman"/>
                <w:lang w:eastAsia="en-US"/>
              </w:rPr>
              <w:t>70</w:t>
            </w:r>
          </w:p>
        </w:tc>
        <w:tc>
          <w:tcPr>
            <w:tcW w:w="952" w:type="dxa"/>
            <w:tcBorders>
              <w:top w:val="single" w:sz="4" w:space="0" w:color="auto"/>
              <w:left w:val="single" w:sz="4" w:space="0" w:color="auto"/>
              <w:bottom w:val="single" w:sz="4" w:space="0" w:color="auto"/>
              <w:right w:val="single" w:sz="4" w:space="0" w:color="auto"/>
            </w:tcBorders>
          </w:tcPr>
          <w:p w:rsidR="006E6D26" w:rsidRPr="00E814A4" w:rsidRDefault="006E6D26" w:rsidP="001627FE">
            <w:pPr>
              <w:pStyle w:val="af7"/>
              <w:spacing w:line="276" w:lineRule="auto"/>
              <w:jc w:val="center"/>
              <w:rPr>
                <w:rFonts w:ascii="Times New Roman" w:hAnsi="Times New Roman"/>
                <w:lang w:eastAsia="en-US"/>
              </w:rPr>
            </w:pPr>
            <w:r w:rsidRPr="00E814A4">
              <w:rPr>
                <w:rFonts w:ascii="Times New Roman" w:hAnsi="Times New Roman"/>
                <w:lang w:eastAsia="en-US"/>
              </w:rPr>
              <w:t>шт</w:t>
            </w:r>
          </w:p>
        </w:tc>
        <w:tc>
          <w:tcPr>
            <w:tcW w:w="1553" w:type="dxa"/>
            <w:tcBorders>
              <w:top w:val="single" w:sz="4" w:space="0" w:color="auto"/>
              <w:left w:val="single" w:sz="4" w:space="0" w:color="auto"/>
              <w:bottom w:val="single" w:sz="4" w:space="0" w:color="auto"/>
              <w:right w:val="single" w:sz="4" w:space="0" w:color="auto"/>
            </w:tcBorders>
          </w:tcPr>
          <w:p w:rsidR="006E6D26" w:rsidRPr="00E814A4" w:rsidRDefault="006E6D26" w:rsidP="001627FE">
            <w:pPr>
              <w:pStyle w:val="af7"/>
              <w:spacing w:line="276" w:lineRule="auto"/>
              <w:jc w:val="center"/>
              <w:rPr>
                <w:rFonts w:ascii="Times New Roman" w:hAnsi="Times New Roman"/>
                <w:lang w:eastAsia="en-US"/>
              </w:rPr>
            </w:pPr>
            <w:r w:rsidRPr="00E814A4">
              <w:rPr>
                <w:rFonts w:ascii="Times New Roman" w:hAnsi="Times New Roman"/>
                <w:color w:val="000000"/>
              </w:rPr>
              <w:t>20.59.52.199</w:t>
            </w:r>
          </w:p>
        </w:tc>
        <w:tc>
          <w:tcPr>
            <w:tcW w:w="1402" w:type="dxa"/>
            <w:tcBorders>
              <w:top w:val="single" w:sz="4" w:space="0" w:color="auto"/>
              <w:left w:val="single" w:sz="4" w:space="0" w:color="auto"/>
              <w:bottom w:val="single" w:sz="4" w:space="0" w:color="auto"/>
              <w:right w:val="single" w:sz="4" w:space="0" w:color="auto"/>
            </w:tcBorders>
            <w:shd w:val="clear" w:color="auto" w:fill="FFFFCC"/>
          </w:tcPr>
          <w:p w:rsidR="006E6D26" w:rsidRPr="00E814A4" w:rsidRDefault="006E6D26" w:rsidP="001627FE">
            <w:pPr>
              <w:pStyle w:val="af7"/>
              <w:spacing w:line="276" w:lineRule="auto"/>
              <w:rPr>
                <w:rFonts w:ascii="Times New Roman" w:hAnsi="Times New Roman"/>
                <w:lang w:eastAsia="en-US"/>
              </w:rPr>
            </w:pPr>
          </w:p>
        </w:tc>
        <w:tc>
          <w:tcPr>
            <w:tcW w:w="803" w:type="dxa"/>
            <w:tcBorders>
              <w:top w:val="single" w:sz="4" w:space="0" w:color="auto"/>
              <w:left w:val="single" w:sz="4" w:space="0" w:color="auto"/>
              <w:bottom w:val="single" w:sz="4" w:space="0" w:color="auto"/>
              <w:right w:val="single" w:sz="4" w:space="0" w:color="auto"/>
            </w:tcBorders>
            <w:shd w:val="clear" w:color="auto" w:fill="FFFFCC"/>
          </w:tcPr>
          <w:p w:rsidR="006E6D26" w:rsidRPr="00E814A4" w:rsidRDefault="006E6D26" w:rsidP="001627FE">
            <w:pPr>
              <w:pStyle w:val="af7"/>
              <w:spacing w:line="276" w:lineRule="auto"/>
              <w:rPr>
                <w:rFonts w:ascii="Times New Roman" w:hAnsi="Times New Roman"/>
                <w:lang w:eastAsia="en-US"/>
              </w:rPr>
            </w:pPr>
          </w:p>
        </w:tc>
        <w:tc>
          <w:tcPr>
            <w:tcW w:w="1098" w:type="dxa"/>
            <w:tcBorders>
              <w:top w:val="single" w:sz="4" w:space="0" w:color="auto"/>
              <w:left w:val="single" w:sz="4" w:space="0" w:color="auto"/>
              <w:bottom w:val="single" w:sz="4" w:space="0" w:color="auto"/>
              <w:right w:val="single" w:sz="4" w:space="0" w:color="auto"/>
            </w:tcBorders>
            <w:shd w:val="clear" w:color="auto" w:fill="FFFFCC"/>
          </w:tcPr>
          <w:p w:rsidR="006E6D26" w:rsidRPr="00E814A4" w:rsidRDefault="006E6D26" w:rsidP="001627FE">
            <w:pPr>
              <w:pStyle w:val="af7"/>
              <w:spacing w:line="276" w:lineRule="auto"/>
              <w:rPr>
                <w:rFonts w:ascii="Times New Roman" w:hAnsi="Times New Roman"/>
                <w:lang w:eastAsia="en-US"/>
              </w:rPr>
            </w:pPr>
          </w:p>
        </w:tc>
        <w:tc>
          <w:tcPr>
            <w:tcW w:w="1115" w:type="dxa"/>
            <w:tcBorders>
              <w:top w:val="single" w:sz="4" w:space="0" w:color="auto"/>
              <w:left w:val="single" w:sz="4" w:space="0" w:color="auto"/>
              <w:bottom w:val="single" w:sz="4" w:space="0" w:color="auto"/>
              <w:right w:val="single" w:sz="4" w:space="0" w:color="auto"/>
            </w:tcBorders>
            <w:shd w:val="clear" w:color="auto" w:fill="FFFFCC"/>
          </w:tcPr>
          <w:p w:rsidR="006E6D26" w:rsidRPr="00E814A4" w:rsidRDefault="006E6D26" w:rsidP="001627FE">
            <w:pPr>
              <w:pStyle w:val="af7"/>
              <w:spacing w:line="276" w:lineRule="auto"/>
              <w:rPr>
                <w:rFonts w:ascii="Times New Roman" w:hAnsi="Times New Roman"/>
                <w:lang w:eastAsia="en-US"/>
              </w:rPr>
            </w:pPr>
          </w:p>
        </w:tc>
      </w:tr>
    </w:tbl>
    <w:p w:rsidR="00170252" w:rsidRDefault="00170252" w:rsidP="000820E3">
      <w:pPr>
        <w:rPr>
          <w:rFonts w:ascii="Times New Roman" w:hAnsi="Times New Roman" w:cs="Times New Roman"/>
          <w:b/>
          <w:sz w:val="28"/>
          <w:szCs w:val="28"/>
        </w:rPr>
      </w:pPr>
    </w:p>
    <w:sectPr w:rsidR="00170252" w:rsidSect="006E6D26">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9F7" w:rsidRDefault="009279F7">
      <w:pPr>
        <w:spacing w:after="0" w:line="240" w:lineRule="auto"/>
      </w:pPr>
      <w:r>
        <w:separator/>
      </w:r>
    </w:p>
  </w:endnote>
  <w:endnote w:type="continuationSeparator" w:id="0">
    <w:p w:rsidR="009279F7" w:rsidRDefault="00927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6234A" w:rsidRDefault="00F6234A">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6234A">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F6234A">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F6234A">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6234A">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607B5">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F6234A">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607B5">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9F7" w:rsidRDefault="009279F7">
      <w:pPr>
        <w:spacing w:after="0" w:line="240" w:lineRule="auto"/>
      </w:pPr>
      <w:r>
        <w:separator/>
      </w:r>
    </w:p>
  </w:footnote>
  <w:footnote w:type="continuationSeparator" w:id="0">
    <w:p w:rsidR="009279F7" w:rsidRDefault="009279F7">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6234A" w:rsidRDefault="00F6234A">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6234A" w:rsidRDefault="00F6234A">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6234A" w:rsidRDefault="00F6234A">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1990"/>
    <w:rsid w:val="001347C5"/>
    <w:rsid w:val="001450A2"/>
    <w:rsid w:val="00145652"/>
    <w:rsid w:val="00145A39"/>
    <w:rsid w:val="0014684C"/>
    <w:rsid w:val="00153E43"/>
    <w:rsid w:val="0015409D"/>
    <w:rsid w:val="001570CF"/>
    <w:rsid w:val="001607B5"/>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4BA"/>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D26"/>
    <w:rsid w:val="006E6F65"/>
    <w:rsid w:val="006F26DA"/>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279F7"/>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4A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6234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96B05-A657-4FC3-8B7B-967CBDA01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5220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2026-08-04T06:42:00Z</dcterms:created>
  <dcterms:modified xsi:type="dcterms:W3CDTF">2026-08-04T06:42:00Z</dcterms:modified>
</cp:coreProperties>
</file>