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15.05.2026 № 21.1-03/1073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8113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D498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D498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D498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5000" w:type="pct"/>
        <w:tblInd w:w="-147" w:type="dxa"/>
        <w:tblLayout w:type="fixed"/>
        <w:tblLook w:val="04A0" w:firstRow="1" w:lastRow="0" w:firstColumn="1" w:lastColumn="0" w:noHBand="0" w:noVBand="1"/>
      </w:tblPr>
      <w:tblGrid>
        <w:gridCol w:w="468"/>
        <w:gridCol w:w="1483"/>
        <w:gridCol w:w="998"/>
        <w:gridCol w:w="845"/>
        <w:gridCol w:w="1557"/>
        <w:gridCol w:w="1694"/>
        <w:gridCol w:w="1837"/>
        <w:gridCol w:w="1011"/>
        <w:gridCol w:w="1560"/>
        <w:gridCol w:w="1560"/>
        <w:gridCol w:w="817"/>
        <w:gridCol w:w="743"/>
        <w:gridCol w:w="568"/>
        <w:gridCol w:w="807"/>
      </w:tblGrid>
      <w:tr w:rsidR="009D498A" w:rsidRPr="009D498A" w:rsidTr="0089036F">
        <w:tc>
          <w:tcPr>
            <w:tcW w:w="147" w:type="pct"/>
          </w:tcPr>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w:t>
            </w:r>
          </w:p>
          <w:p w:rsidR="009D498A" w:rsidRPr="009D498A" w:rsidRDefault="009D498A" w:rsidP="009D498A">
            <w:pP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п/п</w:t>
            </w:r>
          </w:p>
        </w:tc>
        <w:tc>
          <w:tcPr>
            <w:tcW w:w="465" w:type="pct"/>
          </w:tcPr>
          <w:p w:rsidR="009D498A" w:rsidRPr="009D498A" w:rsidRDefault="009D498A" w:rsidP="002E74AB">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Наименование товара</w:t>
            </w:r>
          </w:p>
        </w:tc>
        <w:tc>
          <w:tcPr>
            <w:tcW w:w="313" w:type="pct"/>
          </w:tcPr>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ОКПД2</w:t>
            </w:r>
          </w:p>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/КТРУ</w:t>
            </w:r>
          </w:p>
        </w:tc>
        <w:tc>
          <w:tcPr>
            <w:tcW w:w="265" w:type="pct"/>
          </w:tcPr>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eastAsia="Times New Roman" w:hAnsi="Times New Roman" w:cs="Times New Roman"/>
                <w:b/>
                <w:bCs/>
                <w:color w:val="000000"/>
                <w:sz w:val="14"/>
                <w:szCs w:val="14"/>
                <w:lang w:eastAsia="ru-RU"/>
              </w:rPr>
              <w:t>Кол-во Товара</w:t>
            </w:r>
          </w:p>
        </w:tc>
        <w:tc>
          <w:tcPr>
            <w:tcW w:w="488" w:type="pct"/>
          </w:tcPr>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Единица измерения</w:t>
            </w:r>
          </w:p>
          <w:p w:rsidR="009D498A" w:rsidRPr="009D498A" w:rsidRDefault="009D498A" w:rsidP="009D498A">
            <w:pPr>
              <w:jc w:val="center"/>
              <w:rPr>
                <w:rFonts w:ascii="Times New Roman" w:hAnsi="Times New Roman" w:cs="Times New Roman"/>
                <w:b/>
                <w:bCs/>
                <w:color w:val="000000" w:themeColor="text1"/>
                <w:sz w:val="14"/>
                <w:szCs w:val="14"/>
                <w:lang w:eastAsia="ru-RU"/>
              </w:rPr>
            </w:pPr>
            <w:r w:rsidRPr="009D498A">
              <w:rPr>
                <w:rFonts w:ascii="Times New Roman" w:hAnsi="Times New Roman" w:cs="Times New Roman"/>
                <w:b/>
                <w:bCs/>
                <w:color w:val="000000" w:themeColor="text1"/>
                <w:sz w:val="14"/>
                <w:szCs w:val="14"/>
                <w:lang w:eastAsia="ru-RU"/>
              </w:rPr>
              <w:t>Товара</w:t>
            </w:r>
          </w:p>
        </w:tc>
        <w:tc>
          <w:tcPr>
            <w:tcW w:w="531" w:type="pct"/>
            <w:tcBorders>
              <w:top w:val="single" w:sz="8" w:space="0" w:color="000000"/>
              <w:left w:val="single" w:sz="8" w:space="0" w:color="000000"/>
              <w:bottom w:val="single" w:sz="8" w:space="0" w:color="000000"/>
              <w:right w:val="single" w:sz="8" w:space="0" w:color="000000"/>
            </w:tcBorders>
            <w:shd w:val="clear" w:color="auto" w:fill="auto"/>
            <w:vAlign w:val="center"/>
          </w:tcPr>
          <w:p w:rsidR="009D498A" w:rsidRPr="009D498A" w:rsidRDefault="009D498A" w:rsidP="00D150B4">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 xml:space="preserve">Функциональные, технические, качественные, эксплуатационные характеристики товара </w:t>
            </w:r>
          </w:p>
        </w:tc>
        <w:tc>
          <w:tcPr>
            <w:tcW w:w="576" w:type="pct"/>
            <w:tcBorders>
              <w:top w:val="single" w:sz="8" w:space="0" w:color="000000"/>
              <w:left w:val="single" w:sz="8" w:space="0" w:color="000000"/>
              <w:bottom w:val="single" w:sz="8" w:space="0" w:color="000000"/>
              <w:right w:val="single" w:sz="8" w:space="0" w:color="000000"/>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Значения характеристик товара</w:t>
            </w:r>
          </w:p>
        </w:tc>
        <w:tc>
          <w:tcPr>
            <w:tcW w:w="317" w:type="pct"/>
            <w:tcBorders>
              <w:top w:val="single" w:sz="8" w:space="0" w:color="000000"/>
              <w:left w:val="single" w:sz="8" w:space="0" w:color="000000"/>
              <w:bottom w:val="single" w:sz="8" w:space="0" w:color="000000"/>
              <w:right w:val="single" w:sz="8" w:space="0" w:color="000000"/>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Единица измерения значения</w:t>
            </w:r>
          </w:p>
        </w:tc>
        <w:tc>
          <w:tcPr>
            <w:tcW w:w="48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489" w:type="pct"/>
            <w:tcBorders>
              <w:top w:val="single" w:sz="8" w:space="0" w:color="000000"/>
              <w:left w:val="single" w:sz="8" w:space="0" w:color="000000"/>
              <w:bottom w:val="single" w:sz="8" w:space="0" w:color="000000"/>
              <w:right w:val="single" w:sz="4" w:space="0" w:color="auto"/>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 xml:space="preserve">Инструкция заказчика </w:t>
            </w:r>
          </w:p>
        </w:tc>
        <w:tc>
          <w:tcPr>
            <w:tcW w:w="256" w:type="pct"/>
            <w:tcBorders>
              <w:top w:val="single" w:sz="4" w:space="0" w:color="auto"/>
              <w:left w:val="single" w:sz="4" w:space="0" w:color="auto"/>
              <w:bottom w:val="single" w:sz="4" w:space="0" w:color="000000"/>
              <w:right w:val="single" w:sz="4" w:space="0" w:color="auto"/>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Страна происхождения Товара</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Ставка НДС%</w:t>
            </w:r>
          </w:p>
        </w:tc>
        <w:tc>
          <w:tcPr>
            <w:tcW w:w="178" w:type="pct"/>
            <w:tcBorders>
              <w:top w:val="single" w:sz="4" w:space="0" w:color="auto"/>
              <w:left w:val="single" w:sz="4" w:space="0" w:color="auto"/>
              <w:bottom w:val="single" w:sz="4" w:space="0" w:color="000000"/>
              <w:right w:val="single" w:sz="4" w:space="0" w:color="auto"/>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Цена за ед. без. НДС</w:t>
            </w:r>
          </w:p>
        </w:tc>
        <w:tc>
          <w:tcPr>
            <w:tcW w:w="253" w:type="pct"/>
            <w:tcBorders>
              <w:top w:val="single" w:sz="4" w:space="0" w:color="auto"/>
              <w:left w:val="single" w:sz="4" w:space="0" w:color="auto"/>
              <w:bottom w:val="single" w:sz="4" w:space="0" w:color="000000"/>
              <w:right w:val="single" w:sz="4" w:space="0" w:color="auto"/>
            </w:tcBorders>
            <w:shd w:val="clear" w:color="auto" w:fill="auto"/>
            <w:vAlign w:val="center"/>
          </w:tcPr>
          <w:p w:rsidR="009D498A" w:rsidRPr="009D498A" w:rsidRDefault="009D498A" w:rsidP="009D498A">
            <w:pPr>
              <w:jc w:val="center"/>
              <w:rPr>
                <w:rFonts w:ascii="Times New Roman" w:eastAsia="Times New Roman" w:hAnsi="Times New Roman" w:cs="Times New Roman"/>
                <w:b/>
                <w:bCs/>
                <w:color w:val="000000"/>
                <w:sz w:val="14"/>
                <w:szCs w:val="14"/>
                <w:lang w:eastAsia="ru-RU"/>
              </w:rPr>
            </w:pPr>
            <w:r w:rsidRPr="009D498A">
              <w:rPr>
                <w:rFonts w:ascii="Times New Roman" w:eastAsia="Times New Roman" w:hAnsi="Times New Roman" w:cs="Times New Roman"/>
                <w:b/>
                <w:bCs/>
                <w:color w:val="000000"/>
                <w:sz w:val="14"/>
                <w:szCs w:val="14"/>
                <w:lang w:eastAsia="ru-RU"/>
              </w:rPr>
              <w:t>Сумма без НДС</w:t>
            </w:r>
          </w:p>
        </w:tc>
      </w:tr>
      <w:tr w:rsidR="0089036F" w:rsidRPr="009D498A" w:rsidTr="00B362BF">
        <w:trPr>
          <w:trHeight w:val="2415"/>
        </w:trPr>
        <w:tc>
          <w:tcPr>
            <w:tcW w:w="147" w:type="pct"/>
            <w:vMerge w:val="restar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1</w:t>
            </w:r>
          </w:p>
        </w:tc>
        <w:tc>
          <w:tcPr>
            <w:tcW w:w="465" w:type="pct"/>
            <w:vMerge w:val="restart"/>
          </w:tcPr>
          <w:p w:rsidR="0089036F" w:rsidRPr="009D498A" w:rsidRDefault="0089036F" w:rsidP="00F258C1">
            <w:pPr>
              <w:jc w:val="center"/>
              <w:rPr>
                <w:rFonts w:ascii="Times New Roman" w:hAnsi="Times New Roman" w:cs="Times New Roman"/>
                <w:sz w:val="14"/>
                <w:szCs w:val="14"/>
                <w:shd w:val="clear" w:color="auto" w:fill="FFFFFF"/>
              </w:rPr>
            </w:pPr>
            <w:r w:rsidRPr="009D498A">
              <w:rPr>
                <w:rFonts w:ascii="Times New Roman" w:hAnsi="Times New Roman" w:cs="Times New Roman"/>
                <w:sz w:val="14"/>
                <w:szCs w:val="14"/>
                <w:shd w:val="clear" w:color="auto" w:fill="FFFFFF"/>
              </w:rPr>
              <w:t>Система визуализации для гибридизации in situ</w:t>
            </w:r>
          </w:p>
          <w:p w:rsidR="0089036F" w:rsidRPr="009D498A" w:rsidRDefault="0089036F" w:rsidP="00F258C1">
            <w:pPr>
              <w:jc w:val="center"/>
              <w:rPr>
                <w:rFonts w:ascii="Times New Roman" w:hAnsi="Times New Roman" w:cs="Times New Roman"/>
                <w:sz w:val="14"/>
                <w:szCs w:val="14"/>
              </w:rPr>
            </w:pPr>
          </w:p>
        </w:tc>
        <w:tc>
          <w:tcPr>
            <w:tcW w:w="313" w:type="pct"/>
            <w:vMerge w:val="restar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shd w:val="clear" w:color="auto" w:fill="FFFFFF"/>
              </w:rPr>
              <w:t>21.20.23.110</w:t>
            </w:r>
          </w:p>
        </w:tc>
        <w:tc>
          <w:tcPr>
            <w:tcW w:w="265" w:type="pct"/>
            <w:vMerge w:val="restart"/>
          </w:tcPr>
          <w:p w:rsidR="0089036F" w:rsidRPr="009D498A" w:rsidRDefault="0089036F" w:rsidP="00F258C1">
            <w:pPr>
              <w:jc w:val="center"/>
              <w:rPr>
                <w:rFonts w:ascii="Times New Roman" w:hAnsi="Times New Roman" w:cs="Times New Roman"/>
                <w:sz w:val="14"/>
                <w:szCs w:val="14"/>
              </w:rPr>
            </w:pPr>
            <w:r>
              <w:rPr>
                <w:rFonts w:ascii="Times New Roman" w:hAnsi="Times New Roman" w:cs="Times New Roman"/>
                <w:sz w:val="14"/>
                <w:szCs w:val="14"/>
              </w:rPr>
              <w:t>1</w:t>
            </w:r>
          </w:p>
        </w:tc>
        <w:tc>
          <w:tcPr>
            <w:tcW w:w="488" w:type="pct"/>
            <w:vMerge w:val="restar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Штука</w:t>
            </w:r>
          </w:p>
        </w:tc>
        <w:tc>
          <w:tcPr>
            <w:tcW w:w="531"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Назначение</w:t>
            </w:r>
          </w:p>
        </w:tc>
        <w:tc>
          <w:tcPr>
            <w:tcW w:w="576"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Набор реагентов  для использования в качестве диагностической системы для различных зондов Ventana ISH для окрашивания срезов, фиксированных в забуференном растворе формалина, парафиновых срезах тканей или цитологических препаратов на автоматических иммуногистостейнерах Ventana.</w:t>
            </w:r>
          </w:p>
        </w:tc>
        <w:tc>
          <w:tcPr>
            <w:tcW w:w="317" w:type="pct"/>
          </w:tcPr>
          <w:p w:rsidR="0089036F" w:rsidRPr="009D498A" w:rsidRDefault="0089036F" w:rsidP="00F258C1">
            <w:pPr>
              <w:jc w:val="center"/>
              <w:rPr>
                <w:rFonts w:ascii="Times New Roman" w:hAnsi="Times New Roman" w:cs="Times New Roman"/>
                <w:sz w:val="14"/>
                <w:szCs w:val="14"/>
              </w:rPr>
            </w:pP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Обусловлено требованиями инструкции к анализатору</w:t>
            </w: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Значение характеристики не может изменятся участником закупки</w:t>
            </w:r>
          </w:p>
        </w:tc>
        <w:tc>
          <w:tcPr>
            <w:tcW w:w="256" w:type="pct"/>
            <w:vMerge w:val="restart"/>
          </w:tcPr>
          <w:p w:rsidR="0089036F" w:rsidRPr="009D498A" w:rsidRDefault="0089036F" w:rsidP="00F258C1">
            <w:pPr>
              <w:jc w:val="center"/>
              <w:rPr>
                <w:rFonts w:ascii="Times New Roman" w:hAnsi="Times New Roman" w:cs="Times New Roman"/>
                <w:sz w:val="14"/>
                <w:szCs w:val="14"/>
              </w:rPr>
            </w:pPr>
          </w:p>
        </w:tc>
        <w:tc>
          <w:tcPr>
            <w:tcW w:w="233" w:type="pct"/>
            <w:vMerge w:val="restart"/>
          </w:tcPr>
          <w:p w:rsidR="0089036F" w:rsidRPr="009D498A" w:rsidRDefault="0089036F" w:rsidP="00F258C1">
            <w:pPr>
              <w:jc w:val="center"/>
              <w:rPr>
                <w:rFonts w:ascii="Times New Roman" w:hAnsi="Times New Roman" w:cs="Times New Roman"/>
                <w:sz w:val="14"/>
                <w:szCs w:val="14"/>
              </w:rPr>
            </w:pPr>
          </w:p>
        </w:tc>
        <w:tc>
          <w:tcPr>
            <w:tcW w:w="178" w:type="pct"/>
            <w:vMerge w:val="restart"/>
          </w:tcPr>
          <w:p w:rsidR="0089036F" w:rsidRPr="009D498A" w:rsidRDefault="0089036F" w:rsidP="00F258C1">
            <w:pPr>
              <w:jc w:val="center"/>
              <w:rPr>
                <w:rFonts w:ascii="Times New Roman" w:hAnsi="Times New Roman" w:cs="Times New Roman"/>
                <w:sz w:val="14"/>
                <w:szCs w:val="14"/>
              </w:rPr>
            </w:pPr>
          </w:p>
        </w:tc>
        <w:tc>
          <w:tcPr>
            <w:tcW w:w="253" w:type="pct"/>
            <w:vMerge w:val="restart"/>
          </w:tcPr>
          <w:p w:rsidR="0089036F" w:rsidRPr="009D498A" w:rsidRDefault="0089036F" w:rsidP="00F258C1">
            <w:pPr>
              <w:jc w:val="center"/>
              <w:rPr>
                <w:rFonts w:ascii="Times New Roman" w:hAnsi="Times New Roman" w:cs="Times New Roman"/>
                <w:sz w:val="14"/>
                <w:szCs w:val="14"/>
              </w:rPr>
            </w:pPr>
          </w:p>
        </w:tc>
      </w:tr>
      <w:tr w:rsidR="0089036F" w:rsidRPr="009D498A" w:rsidTr="0089036F">
        <w:tc>
          <w:tcPr>
            <w:tcW w:w="147" w:type="pct"/>
            <w:vMerge/>
          </w:tcPr>
          <w:p w:rsidR="0089036F" w:rsidRPr="009D498A" w:rsidRDefault="0089036F" w:rsidP="00F258C1">
            <w:pPr>
              <w:jc w:val="center"/>
              <w:rPr>
                <w:rFonts w:ascii="Times New Roman" w:hAnsi="Times New Roman" w:cs="Times New Roman"/>
                <w:sz w:val="14"/>
                <w:szCs w:val="14"/>
              </w:rPr>
            </w:pPr>
          </w:p>
        </w:tc>
        <w:tc>
          <w:tcPr>
            <w:tcW w:w="465" w:type="pct"/>
            <w:vMerge/>
          </w:tcPr>
          <w:p w:rsidR="0089036F" w:rsidRPr="009D498A" w:rsidRDefault="0089036F" w:rsidP="00F258C1">
            <w:pPr>
              <w:jc w:val="center"/>
              <w:rPr>
                <w:rFonts w:ascii="Times New Roman" w:hAnsi="Times New Roman" w:cs="Times New Roman"/>
                <w:sz w:val="14"/>
                <w:szCs w:val="14"/>
              </w:rPr>
            </w:pPr>
          </w:p>
        </w:tc>
        <w:tc>
          <w:tcPr>
            <w:tcW w:w="313" w:type="pct"/>
            <w:vMerge/>
          </w:tcPr>
          <w:p w:rsidR="0089036F" w:rsidRPr="009D498A" w:rsidRDefault="0089036F" w:rsidP="00F258C1">
            <w:pPr>
              <w:jc w:val="center"/>
              <w:rPr>
                <w:rFonts w:ascii="Times New Roman" w:hAnsi="Times New Roman" w:cs="Times New Roman"/>
                <w:sz w:val="14"/>
                <w:szCs w:val="14"/>
              </w:rPr>
            </w:pPr>
          </w:p>
        </w:tc>
        <w:tc>
          <w:tcPr>
            <w:tcW w:w="265" w:type="pct"/>
            <w:vMerge/>
          </w:tcPr>
          <w:p w:rsidR="0089036F" w:rsidRPr="009D498A" w:rsidRDefault="0089036F" w:rsidP="00F258C1">
            <w:pPr>
              <w:jc w:val="center"/>
              <w:rPr>
                <w:rFonts w:ascii="Times New Roman" w:hAnsi="Times New Roman" w:cs="Times New Roman"/>
                <w:sz w:val="14"/>
                <w:szCs w:val="14"/>
              </w:rPr>
            </w:pPr>
          </w:p>
        </w:tc>
        <w:tc>
          <w:tcPr>
            <w:tcW w:w="488" w:type="pct"/>
            <w:vMerge/>
          </w:tcPr>
          <w:p w:rsidR="0089036F" w:rsidRPr="009D498A" w:rsidRDefault="0089036F" w:rsidP="00F258C1">
            <w:pPr>
              <w:jc w:val="center"/>
              <w:rPr>
                <w:rFonts w:ascii="Times New Roman" w:hAnsi="Times New Roman" w:cs="Times New Roman"/>
                <w:sz w:val="14"/>
                <w:szCs w:val="14"/>
              </w:rPr>
            </w:pPr>
          </w:p>
        </w:tc>
        <w:tc>
          <w:tcPr>
            <w:tcW w:w="531"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Состав набора</w:t>
            </w:r>
          </w:p>
        </w:tc>
        <w:tc>
          <w:tcPr>
            <w:tcW w:w="576"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Пластиковые флаконы-дозаторы с реагентами:</w:t>
            </w:r>
          </w:p>
          <w:p w:rsidR="0089036F" w:rsidRPr="009D498A" w:rsidRDefault="00CB77E7" w:rsidP="00F258C1">
            <w:pPr>
              <w:jc w:val="center"/>
              <w:rPr>
                <w:rFonts w:ascii="Times New Roman" w:hAnsi="Times New Roman" w:cs="Times New Roman"/>
                <w:sz w:val="14"/>
                <w:szCs w:val="14"/>
              </w:rPr>
            </w:pPr>
            <w:r>
              <w:rPr>
                <w:rFonts w:ascii="Times New Roman" w:hAnsi="Times New Roman" w:cs="Times New Roman"/>
                <w:sz w:val="14"/>
                <w:szCs w:val="14"/>
              </w:rPr>
              <w:t xml:space="preserve">Дозатор 1: </w:t>
            </w:r>
            <w:r w:rsidR="0089036F" w:rsidRPr="009D498A">
              <w:rPr>
                <w:rFonts w:ascii="Times New Roman" w:hAnsi="Times New Roman" w:cs="Times New Roman"/>
                <w:sz w:val="14"/>
                <w:szCs w:val="14"/>
              </w:rPr>
              <w:t>мышиные моноклональные анти-флуоросцеин антитела в фосфатном буферном растворе с белковым стабилизатором и консервантом.</w:t>
            </w:r>
          </w:p>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Дозатор 2: очищенные аффинной хроматографией козьи антитела против мышиных иммуноглобулинов IgG в фосфатном буферном растворе с белковым стабилизатором и консервантом.</w:t>
            </w:r>
          </w:p>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Дозатор 3: Streptavidin Alkaline Phosphatase в трисбуфере с MgCl2 и ZnCl2.</w:t>
            </w:r>
          </w:p>
          <w:p w:rsidR="0089036F" w:rsidRPr="009D498A" w:rsidRDefault="00CB77E7" w:rsidP="00F258C1">
            <w:pPr>
              <w:jc w:val="center"/>
              <w:rPr>
                <w:rFonts w:ascii="Times New Roman" w:hAnsi="Times New Roman" w:cs="Times New Roman"/>
                <w:sz w:val="14"/>
                <w:szCs w:val="14"/>
              </w:rPr>
            </w:pPr>
            <w:r>
              <w:rPr>
                <w:rFonts w:ascii="Times New Roman" w:hAnsi="Times New Roman" w:cs="Times New Roman"/>
                <w:sz w:val="14"/>
                <w:szCs w:val="14"/>
              </w:rPr>
              <w:t xml:space="preserve">Дозатор 4: </w:t>
            </w:r>
            <w:r w:rsidR="0089036F" w:rsidRPr="009D498A">
              <w:rPr>
                <w:rFonts w:ascii="Times New Roman" w:hAnsi="Times New Roman" w:cs="Times New Roman"/>
                <w:sz w:val="14"/>
                <w:szCs w:val="14"/>
              </w:rPr>
              <w:t>раствор MgCl2 с консервантом.</w:t>
            </w:r>
          </w:p>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Дозатор 5: нитросиний тетразолий в 1 % диметилформамиде.</w:t>
            </w:r>
          </w:p>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Дозатор 6: 5-бромо-4-хлоро-3-индолил фосфат в трис-буфере.</w:t>
            </w:r>
          </w:p>
        </w:tc>
        <w:tc>
          <w:tcPr>
            <w:tcW w:w="317" w:type="pct"/>
          </w:tcPr>
          <w:p w:rsidR="0089036F" w:rsidRPr="009D498A" w:rsidRDefault="0089036F" w:rsidP="00F258C1">
            <w:pPr>
              <w:jc w:val="center"/>
              <w:rPr>
                <w:rFonts w:ascii="Times New Roman" w:hAnsi="Times New Roman" w:cs="Times New Roman"/>
                <w:sz w:val="14"/>
                <w:szCs w:val="14"/>
              </w:rPr>
            </w:pP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Обусловлено требованиями к оптимизации лабораторных исследований</w:t>
            </w: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Значение характеристики не может изменятся участником закупки</w:t>
            </w:r>
          </w:p>
        </w:tc>
        <w:tc>
          <w:tcPr>
            <w:tcW w:w="256" w:type="pct"/>
            <w:vMerge/>
          </w:tcPr>
          <w:p w:rsidR="0089036F" w:rsidRPr="009D498A" w:rsidRDefault="0089036F" w:rsidP="00F258C1">
            <w:pPr>
              <w:jc w:val="center"/>
              <w:rPr>
                <w:rFonts w:ascii="Times New Roman" w:hAnsi="Times New Roman" w:cs="Times New Roman"/>
                <w:sz w:val="14"/>
                <w:szCs w:val="14"/>
              </w:rPr>
            </w:pPr>
          </w:p>
        </w:tc>
        <w:tc>
          <w:tcPr>
            <w:tcW w:w="233" w:type="pct"/>
            <w:vMerge/>
          </w:tcPr>
          <w:p w:rsidR="0089036F" w:rsidRPr="009D498A" w:rsidRDefault="0089036F" w:rsidP="00F258C1">
            <w:pPr>
              <w:jc w:val="center"/>
              <w:rPr>
                <w:rFonts w:ascii="Times New Roman" w:hAnsi="Times New Roman" w:cs="Times New Roman"/>
                <w:sz w:val="14"/>
                <w:szCs w:val="14"/>
              </w:rPr>
            </w:pPr>
          </w:p>
        </w:tc>
        <w:tc>
          <w:tcPr>
            <w:tcW w:w="178" w:type="pct"/>
            <w:vMerge/>
          </w:tcPr>
          <w:p w:rsidR="0089036F" w:rsidRPr="009D498A" w:rsidRDefault="0089036F" w:rsidP="00F258C1">
            <w:pPr>
              <w:jc w:val="center"/>
              <w:rPr>
                <w:rFonts w:ascii="Times New Roman" w:hAnsi="Times New Roman" w:cs="Times New Roman"/>
                <w:sz w:val="14"/>
                <w:szCs w:val="14"/>
              </w:rPr>
            </w:pPr>
          </w:p>
        </w:tc>
        <w:tc>
          <w:tcPr>
            <w:tcW w:w="253" w:type="pct"/>
            <w:vMerge/>
          </w:tcPr>
          <w:p w:rsidR="0089036F" w:rsidRPr="009D498A" w:rsidRDefault="0089036F" w:rsidP="00F258C1">
            <w:pPr>
              <w:jc w:val="center"/>
              <w:rPr>
                <w:rFonts w:ascii="Times New Roman" w:hAnsi="Times New Roman" w:cs="Times New Roman"/>
                <w:sz w:val="14"/>
                <w:szCs w:val="14"/>
              </w:rPr>
            </w:pPr>
          </w:p>
        </w:tc>
      </w:tr>
      <w:tr w:rsidR="0089036F" w:rsidRPr="009D498A" w:rsidTr="0089036F">
        <w:tc>
          <w:tcPr>
            <w:tcW w:w="147" w:type="pct"/>
            <w:vMerge/>
          </w:tcPr>
          <w:p w:rsidR="0089036F" w:rsidRPr="009D498A" w:rsidRDefault="0089036F" w:rsidP="00F258C1">
            <w:pPr>
              <w:jc w:val="center"/>
              <w:rPr>
                <w:rFonts w:ascii="Times New Roman" w:hAnsi="Times New Roman" w:cs="Times New Roman"/>
                <w:sz w:val="14"/>
                <w:szCs w:val="14"/>
              </w:rPr>
            </w:pPr>
          </w:p>
        </w:tc>
        <w:tc>
          <w:tcPr>
            <w:tcW w:w="465" w:type="pct"/>
            <w:vMerge/>
          </w:tcPr>
          <w:p w:rsidR="0089036F" w:rsidRPr="009D498A" w:rsidRDefault="0089036F" w:rsidP="00F258C1">
            <w:pPr>
              <w:jc w:val="center"/>
              <w:rPr>
                <w:rFonts w:ascii="Times New Roman" w:hAnsi="Times New Roman" w:cs="Times New Roman"/>
                <w:sz w:val="14"/>
                <w:szCs w:val="14"/>
              </w:rPr>
            </w:pPr>
          </w:p>
        </w:tc>
        <w:tc>
          <w:tcPr>
            <w:tcW w:w="313" w:type="pct"/>
            <w:vMerge/>
          </w:tcPr>
          <w:p w:rsidR="0089036F" w:rsidRPr="009D498A" w:rsidRDefault="0089036F" w:rsidP="00F258C1">
            <w:pPr>
              <w:jc w:val="center"/>
              <w:rPr>
                <w:rFonts w:ascii="Times New Roman" w:hAnsi="Times New Roman" w:cs="Times New Roman"/>
                <w:sz w:val="14"/>
                <w:szCs w:val="14"/>
              </w:rPr>
            </w:pPr>
          </w:p>
        </w:tc>
        <w:tc>
          <w:tcPr>
            <w:tcW w:w="265" w:type="pct"/>
            <w:vMerge/>
          </w:tcPr>
          <w:p w:rsidR="0089036F" w:rsidRPr="009D498A" w:rsidRDefault="0089036F" w:rsidP="00F258C1">
            <w:pPr>
              <w:jc w:val="center"/>
              <w:rPr>
                <w:rFonts w:ascii="Times New Roman" w:hAnsi="Times New Roman" w:cs="Times New Roman"/>
                <w:sz w:val="14"/>
                <w:szCs w:val="14"/>
              </w:rPr>
            </w:pPr>
          </w:p>
        </w:tc>
        <w:tc>
          <w:tcPr>
            <w:tcW w:w="488" w:type="pct"/>
            <w:vMerge/>
          </w:tcPr>
          <w:p w:rsidR="0089036F" w:rsidRPr="009D498A" w:rsidRDefault="0089036F" w:rsidP="00F258C1">
            <w:pPr>
              <w:jc w:val="center"/>
              <w:rPr>
                <w:rFonts w:ascii="Times New Roman" w:hAnsi="Times New Roman" w:cs="Times New Roman"/>
                <w:sz w:val="14"/>
                <w:szCs w:val="14"/>
              </w:rPr>
            </w:pPr>
          </w:p>
        </w:tc>
        <w:tc>
          <w:tcPr>
            <w:tcW w:w="531"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Объем одного дозатора</w:t>
            </w:r>
          </w:p>
        </w:tc>
        <w:tc>
          <w:tcPr>
            <w:tcW w:w="576" w:type="pct"/>
          </w:tcPr>
          <w:p w:rsidR="0089036F" w:rsidRPr="009D498A" w:rsidRDefault="0089036F" w:rsidP="00F258C1">
            <w:pPr>
              <w:jc w:val="center"/>
              <w:rPr>
                <w:rFonts w:ascii="Times New Roman" w:hAnsi="Times New Roman" w:cs="Times New Roman"/>
                <w:sz w:val="14"/>
                <w:szCs w:val="14"/>
              </w:rPr>
            </w:pPr>
            <w:r w:rsidRPr="009D498A">
              <w:rPr>
                <w:rFonts w:ascii="Times New Roman" w:eastAsia="Calibri" w:hAnsi="Times New Roman" w:cs="Times New Roman"/>
                <w:bCs/>
                <w:color w:val="000000" w:themeColor="text1"/>
                <w:sz w:val="14"/>
                <w:szCs w:val="14"/>
              </w:rPr>
              <w:t>≥ 20</w:t>
            </w:r>
          </w:p>
        </w:tc>
        <w:tc>
          <w:tcPr>
            <w:tcW w:w="317"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Мл</w:t>
            </w: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Из расчета на определенное количество исследований на анализаторе</w:t>
            </w:r>
          </w:p>
        </w:tc>
        <w:tc>
          <w:tcPr>
            <w:tcW w:w="489" w:type="pct"/>
          </w:tcPr>
          <w:p w:rsidR="0089036F" w:rsidRPr="009D498A" w:rsidRDefault="0089036F" w:rsidP="00F258C1">
            <w:pPr>
              <w:ind w:right="-57"/>
              <w:jc w:val="center"/>
              <w:rPr>
                <w:rFonts w:ascii="Times New Roman" w:hAnsi="Times New Roman" w:cs="Times New Roman"/>
                <w:sz w:val="14"/>
                <w:szCs w:val="14"/>
              </w:rPr>
            </w:pPr>
            <w:r w:rsidRPr="009D498A">
              <w:rPr>
                <w:rFonts w:ascii="Times New Roman" w:hAnsi="Times New Roman" w:cs="Times New Roman"/>
                <w:sz w:val="14"/>
                <w:szCs w:val="14"/>
              </w:rPr>
              <w:t>Участник закупки указывает в заявке конкретное значение характеристики</w:t>
            </w:r>
          </w:p>
        </w:tc>
        <w:tc>
          <w:tcPr>
            <w:tcW w:w="256" w:type="pct"/>
            <w:vMerge/>
          </w:tcPr>
          <w:p w:rsidR="0089036F" w:rsidRPr="009D498A" w:rsidRDefault="0089036F" w:rsidP="00F258C1">
            <w:pPr>
              <w:ind w:right="-57"/>
              <w:jc w:val="center"/>
              <w:rPr>
                <w:rFonts w:ascii="Times New Roman" w:hAnsi="Times New Roman" w:cs="Times New Roman"/>
                <w:sz w:val="14"/>
                <w:szCs w:val="14"/>
              </w:rPr>
            </w:pPr>
          </w:p>
        </w:tc>
        <w:tc>
          <w:tcPr>
            <w:tcW w:w="233" w:type="pct"/>
            <w:vMerge/>
          </w:tcPr>
          <w:p w:rsidR="0089036F" w:rsidRPr="009D498A" w:rsidRDefault="0089036F" w:rsidP="00F258C1">
            <w:pPr>
              <w:ind w:right="-57"/>
              <w:jc w:val="center"/>
              <w:rPr>
                <w:rFonts w:ascii="Times New Roman" w:hAnsi="Times New Roman" w:cs="Times New Roman"/>
                <w:sz w:val="14"/>
                <w:szCs w:val="14"/>
              </w:rPr>
            </w:pPr>
          </w:p>
        </w:tc>
        <w:tc>
          <w:tcPr>
            <w:tcW w:w="178" w:type="pct"/>
            <w:vMerge/>
          </w:tcPr>
          <w:p w:rsidR="0089036F" w:rsidRPr="009D498A" w:rsidRDefault="0089036F" w:rsidP="00F258C1">
            <w:pPr>
              <w:ind w:right="-57"/>
              <w:jc w:val="center"/>
              <w:rPr>
                <w:rFonts w:ascii="Times New Roman" w:hAnsi="Times New Roman" w:cs="Times New Roman"/>
                <w:sz w:val="14"/>
                <w:szCs w:val="14"/>
              </w:rPr>
            </w:pPr>
          </w:p>
        </w:tc>
        <w:tc>
          <w:tcPr>
            <w:tcW w:w="253" w:type="pct"/>
            <w:vMerge/>
          </w:tcPr>
          <w:p w:rsidR="0089036F" w:rsidRPr="009D498A" w:rsidRDefault="0089036F" w:rsidP="00F258C1">
            <w:pPr>
              <w:ind w:right="-57"/>
              <w:jc w:val="center"/>
              <w:rPr>
                <w:rFonts w:ascii="Times New Roman" w:hAnsi="Times New Roman" w:cs="Times New Roman"/>
                <w:sz w:val="14"/>
                <w:szCs w:val="14"/>
              </w:rPr>
            </w:pPr>
          </w:p>
        </w:tc>
      </w:tr>
      <w:tr w:rsidR="0089036F" w:rsidRPr="009D498A" w:rsidTr="0089036F">
        <w:trPr>
          <w:trHeight w:val="1459"/>
        </w:trPr>
        <w:tc>
          <w:tcPr>
            <w:tcW w:w="147" w:type="pct"/>
            <w:vMerge/>
          </w:tcPr>
          <w:p w:rsidR="0089036F" w:rsidRPr="009D498A" w:rsidRDefault="0089036F" w:rsidP="00F258C1">
            <w:pPr>
              <w:jc w:val="center"/>
              <w:rPr>
                <w:rFonts w:ascii="Times New Roman" w:hAnsi="Times New Roman" w:cs="Times New Roman"/>
                <w:sz w:val="14"/>
                <w:szCs w:val="14"/>
              </w:rPr>
            </w:pPr>
          </w:p>
        </w:tc>
        <w:tc>
          <w:tcPr>
            <w:tcW w:w="465" w:type="pct"/>
            <w:vMerge/>
          </w:tcPr>
          <w:p w:rsidR="0089036F" w:rsidRPr="009D498A" w:rsidRDefault="0089036F" w:rsidP="00F258C1">
            <w:pPr>
              <w:jc w:val="center"/>
              <w:rPr>
                <w:rFonts w:ascii="Times New Roman" w:hAnsi="Times New Roman" w:cs="Times New Roman"/>
                <w:sz w:val="14"/>
                <w:szCs w:val="14"/>
              </w:rPr>
            </w:pPr>
          </w:p>
        </w:tc>
        <w:tc>
          <w:tcPr>
            <w:tcW w:w="313" w:type="pct"/>
            <w:vMerge/>
          </w:tcPr>
          <w:p w:rsidR="0089036F" w:rsidRPr="009D498A" w:rsidRDefault="0089036F" w:rsidP="00F258C1">
            <w:pPr>
              <w:jc w:val="center"/>
              <w:rPr>
                <w:rFonts w:ascii="Times New Roman" w:hAnsi="Times New Roman" w:cs="Times New Roman"/>
                <w:sz w:val="14"/>
                <w:szCs w:val="14"/>
              </w:rPr>
            </w:pPr>
          </w:p>
        </w:tc>
        <w:tc>
          <w:tcPr>
            <w:tcW w:w="265" w:type="pct"/>
            <w:vMerge/>
          </w:tcPr>
          <w:p w:rsidR="0089036F" w:rsidRPr="009D498A" w:rsidRDefault="0089036F" w:rsidP="00F258C1">
            <w:pPr>
              <w:jc w:val="center"/>
              <w:rPr>
                <w:rFonts w:ascii="Times New Roman" w:hAnsi="Times New Roman" w:cs="Times New Roman"/>
                <w:sz w:val="14"/>
                <w:szCs w:val="14"/>
              </w:rPr>
            </w:pPr>
          </w:p>
        </w:tc>
        <w:tc>
          <w:tcPr>
            <w:tcW w:w="488" w:type="pct"/>
            <w:vMerge/>
          </w:tcPr>
          <w:p w:rsidR="0089036F" w:rsidRPr="009D498A" w:rsidRDefault="0089036F" w:rsidP="00F258C1">
            <w:pPr>
              <w:jc w:val="center"/>
              <w:rPr>
                <w:rFonts w:ascii="Times New Roman" w:hAnsi="Times New Roman" w:cs="Times New Roman"/>
                <w:sz w:val="14"/>
                <w:szCs w:val="14"/>
              </w:rPr>
            </w:pPr>
          </w:p>
        </w:tc>
        <w:tc>
          <w:tcPr>
            <w:tcW w:w="531"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Количество исследований в наборе</w:t>
            </w:r>
          </w:p>
        </w:tc>
        <w:tc>
          <w:tcPr>
            <w:tcW w:w="576" w:type="pct"/>
          </w:tcPr>
          <w:p w:rsidR="0089036F" w:rsidRPr="009D498A" w:rsidRDefault="0089036F" w:rsidP="00F258C1">
            <w:pPr>
              <w:jc w:val="center"/>
              <w:rPr>
                <w:rFonts w:ascii="Times New Roman" w:hAnsi="Times New Roman" w:cs="Times New Roman"/>
                <w:sz w:val="14"/>
                <w:szCs w:val="14"/>
              </w:rPr>
            </w:pPr>
            <w:r w:rsidRPr="009D498A">
              <w:rPr>
                <w:rFonts w:ascii="Times New Roman" w:eastAsia="Calibri" w:hAnsi="Times New Roman" w:cs="Times New Roman"/>
                <w:bCs/>
                <w:color w:val="000000" w:themeColor="text1"/>
                <w:sz w:val="14"/>
                <w:szCs w:val="14"/>
              </w:rPr>
              <w:t>≥ 200</w:t>
            </w:r>
          </w:p>
        </w:tc>
        <w:tc>
          <w:tcPr>
            <w:tcW w:w="317"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Штука</w:t>
            </w: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Из расчета на определенное количество исследований на анализаторе</w:t>
            </w:r>
          </w:p>
        </w:tc>
        <w:tc>
          <w:tcPr>
            <w:tcW w:w="489" w:type="pct"/>
          </w:tcPr>
          <w:p w:rsidR="0089036F" w:rsidRPr="009D498A" w:rsidRDefault="0089036F" w:rsidP="00F258C1">
            <w:pPr>
              <w:jc w:val="center"/>
              <w:rPr>
                <w:rFonts w:ascii="Times New Roman" w:hAnsi="Times New Roman" w:cs="Times New Roman"/>
                <w:sz w:val="14"/>
                <w:szCs w:val="14"/>
              </w:rPr>
            </w:pPr>
            <w:r w:rsidRPr="009D498A">
              <w:rPr>
                <w:rFonts w:ascii="Times New Roman" w:hAnsi="Times New Roman" w:cs="Times New Roman"/>
                <w:sz w:val="14"/>
                <w:szCs w:val="14"/>
              </w:rPr>
              <w:t>Участник закупки указывает в заявке конкретное значение характеристики</w:t>
            </w:r>
          </w:p>
        </w:tc>
        <w:tc>
          <w:tcPr>
            <w:tcW w:w="256" w:type="pct"/>
            <w:vMerge/>
          </w:tcPr>
          <w:p w:rsidR="0089036F" w:rsidRPr="009D498A" w:rsidRDefault="0089036F" w:rsidP="00F258C1">
            <w:pPr>
              <w:jc w:val="center"/>
              <w:rPr>
                <w:rFonts w:ascii="Times New Roman" w:hAnsi="Times New Roman" w:cs="Times New Roman"/>
                <w:sz w:val="14"/>
                <w:szCs w:val="14"/>
              </w:rPr>
            </w:pPr>
          </w:p>
        </w:tc>
        <w:tc>
          <w:tcPr>
            <w:tcW w:w="233" w:type="pct"/>
            <w:vMerge/>
          </w:tcPr>
          <w:p w:rsidR="0089036F" w:rsidRPr="009D498A" w:rsidRDefault="0089036F" w:rsidP="00F258C1">
            <w:pPr>
              <w:jc w:val="center"/>
              <w:rPr>
                <w:rFonts w:ascii="Times New Roman" w:hAnsi="Times New Roman" w:cs="Times New Roman"/>
                <w:sz w:val="14"/>
                <w:szCs w:val="14"/>
              </w:rPr>
            </w:pPr>
          </w:p>
        </w:tc>
        <w:tc>
          <w:tcPr>
            <w:tcW w:w="178" w:type="pct"/>
            <w:vMerge/>
          </w:tcPr>
          <w:p w:rsidR="0089036F" w:rsidRPr="009D498A" w:rsidRDefault="0089036F" w:rsidP="00F258C1">
            <w:pPr>
              <w:jc w:val="center"/>
              <w:rPr>
                <w:rFonts w:ascii="Times New Roman" w:hAnsi="Times New Roman" w:cs="Times New Roman"/>
                <w:sz w:val="14"/>
                <w:szCs w:val="14"/>
              </w:rPr>
            </w:pPr>
          </w:p>
        </w:tc>
        <w:tc>
          <w:tcPr>
            <w:tcW w:w="253" w:type="pct"/>
            <w:vMerge/>
          </w:tcPr>
          <w:p w:rsidR="0089036F" w:rsidRPr="009D498A" w:rsidRDefault="0089036F" w:rsidP="00F258C1">
            <w:pPr>
              <w:jc w:val="center"/>
              <w:rPr>
                <w:rFonts w:ascii="Times New Roman" w:hAnsi="Times New Roman" w:cs="Times New Roman"/>
                <w:sz w:val="14"/>
                <w:szCs w:val="14"/>
              </w:rPr>
            </w:pPr>
          </w:p>
        </w:tc>
      </w:tr>
      <w:tr w:rsidR="002E74AB" w:rsidRPr="009D498A" w:rsidTr="00BB15DE">
        <w:trPr>
          <w:trHeight w:val="654"/>
        </w:trPr>
        <w:tc>
          <w:tcPr>
            <w:tcW w:w="147"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2</w:t>
            </w:r>
          </w:p>
        </w:tc>
        <w:tc>
          <w:tcPr>
            <w:tcW w:w="465"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shd w:val="clear" w:color="auto" w:fill="FFFFFF"/>
              </w:rPr>
            </w:pPr>
            <w:r w:rsidRPr="009D498A">
              <w:rPr>
                <w:rFonts w:ascii="Times New Roman" w:hAnsi="Times New Roman" w:cs="Times New Roman"/>
                <w:color w:val="000000" w:themeColor="text1"/>
                <w:sz w:val="14"/>
                <w:szCs w:val="14"/>
                <w:shd w:val="clear" w:color="auto" w:fill="FFFFFF"/>
              </w:rPr>
              <w:t>Иммуногистохимическое определение антител ИВД, набор, иммуногистохимическая реакция с ферментной меткой</w:t>
            </w:r>
          </w:p>
          <w:p w:rsidR="002E74AB" w:rsidRPr="009D498A" w:rsidRDefault="002E74AB" w:rsidP="002E74AB">
            <w:pPr>
              <w:jc w:val="center"/>
              <w:rPr>
                <w:rFonts w:ascii="Times New Roman" w:hAnsi="Times New Roman" w:cs="Times New Roman"/>
                <w:color w:val="000000" w:themeColor="text1"/>
                <w:sz w:val="14"/>
                <w:szCs w:val="14"/>
                <w:shd w:val="clear" w:color="auto" w:fill="FFFFFF"/>
              </w:rPr>
            </w:pPr>
          </w:p>
          <w:p w:rsidR="002E74AB" w:rsidRPr="009D498A" w:rsidRDefault="002E74AB" w:rsidP="002E74AB">
            <w:pPr>
              <w:jc w:val="center"/>
              <w:rPr>
                <w:rFonts w:ascii="Times New Roman" w:hAnsi="Times New Roman" w:cs="Times New Roman"/>
                <w:color w:val="000000" w:themeColor="text1"/>
                <w:sz w:val="14"/>
                <w:szCs w:val="14"/>
              </w:rPr>
            </w:pPr>
          </w:p>
        </w:tc>
        <w:tc>
          <w:tcPr>
            <w:tcW w:w="313"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shd w:val="clear" w:color="auto" w:fill="FFFFFF"/>
              </w:rPr>
              <w:t>21.20.23.110-00001311</w:t>
            </w:r>
            <w:r>
              <w:rPr>
                <w:rFonts w:ascii="Times New Roman" w:hAnsi="Times New Roman" w:cs="Times New Roman"/>
                <w:color w:val="000000" w:themeColor="text1"/>
                <w:sz w:val="14"/>
                <w:szCs w:val="14"/>
                <w:shd w:val="clear" w:color="auto" w:fill="FFFFFF"/>
              </w:rPr>
              <w:t>*</w:t>
            </w:r>
          </w:p>
        </w:tc>
        <w:tc>
          <w:tcPr>
            <w:tcW w:w="265"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6</w:t>
            </w:r>
          </w:p>
        </w:tc>
        <w:tc>
          <w:tcPr>
            <w:tcW w:w="488"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Набор</w:t>
            </w:r>
          </w:p>
          <w:p w:rsidR="002E74AB" w:rsidRPr="009D498A" w:rsidRDefault="002E74AB" w:rsidP="002E74AB">
            <w:pPr>
              <w:jc w:val="center"/>
              <w:rPr>
                <w:rFonts w:ascii="Times New Roman" w:hAnsi="Times New Roman" w:cs="Times New Roman"/>
                <w:color w:val="000000" w:themeColor="text1"/>
                <w:sz w:val="14"/>
                <w:szCs w:val="14"/>
              </w:rPr>
            </w:pPr>
          </w:p>
        </w:tc>
        <w:tc>
          <w:tcPr>
            <w:tcW w:w="531" w:type="pc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Назначение</w:t>
            </w:r>
          </w:p>
        </w:tc>
        <w:tc>
          <w:tcPr>
            <w:tcW w:w="576" w:type="pc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Для автоматических иммуностейнеров серии BenchMark</w:t>
            </w:r>
          </w:p>
        </w:tc>
        <w:tc>
          <w:tcPr>
            <w:tcW w:w="317" w:type="pc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p>
        </w:tc>
        <w:tc>
          <w:tcPr>
            <w:tcW w:w="489" w:type="pct"/>
            <w:tcBorders>
              <w:bottom w:val="single" w:sz="4" w:space="0" w:color="auto"/>
            </w:tcBorders>
          </w:tcPr>
          <w:p w:rsidR="002E74AB" w:rsidRDefault="002E74AB" w:rsidP="002E74AB">
            <w:pPr>
              <w:jc w:val="center"/>
            </w:pPr>
            <w:r w:rsidRPr="00D45E43">
              <w:rPr>
                <w:rFonts w:ascii="Times New Roman" w:hAnsi="Times New Roman" w:cs="Times New Roman"/>
                <w:color w:val="000000" w:themeColor="text1"/>
                <w:sz w:val="14"/>
                <w:szCs w:val="14"/>
              </w:rPr>
              <w:t>В соответствии с КТРУ</w:t>
            </w:r>
          </w:p>
        </w:tc>
        <w:tc>
          <w:tcPr>
            <w:tcW w:w="489" w:type="pc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val="restart"/>
          </w:tcPr>
          <w:p w:rsidR="002E74AB" w:rsidRPr="009D498A" w:rsidRDefault="002E74AB" w:rsidP="002E74AB">
            <w:pPr>
              <w:jc w:val="center"/>
              <w:rPr>
                <w:rFonts w:ascii="Times New Roman" w:hAnsi="Times New Roman" w:cs="Times New Roman"/>
                <w:color w:val="000000" w:themeColor="text1"/>
                <w:sz w:val="14"/>
                <w:szCs w:val="14"/>
              </w:rPr>
            </w:pPr>
          </w:p>
        </w:tc>
        <w:tc>
          <w:tcPr>
            <w:tcW w:w="233" w:type="pct"/>
            <w:vMerge w:val="restart"/>
          </w:tcPr>
          <w:p w:rsidR="002E74AB" w:rsidRPr="009D498A" w:rsidRDefault="002E74AB" w:rsidP="002E74AB">
            <w:pPr>
              <w:jc w:val="center"/>
              <w:rPr>
                <w:rFonts w:ascii="Times New Roman" w:hAnsi="Times New Roman" w:cs="Times New Roman"/>
                <w:color w:val="000000" w:themeColor="text1"/>
                <w:sz w:val="14"/>
                <w:szCs w:val="14"/>
              </w:rPr>
            </w:pPr>
          </w:p>
        </w:tc>
        <w:tc>
          <w:tcPr>
            <w:tcW w:w="178" w:type="pct"/>
            <w:vMerge w:val="restart"/>
          </w:tcPr>
          <w:p w:rsidR="002E74AB" w:rsidRPr="009D498A" w:rsidRDefault="002E74AB" w:rsidP="002E74AB">
            <w:pPr>
              <w:jc w:val="center"/>
              <w:rPr>
                <w:rFonts w:ascii="Times New Roman" w:hAnsi="Times New Roman" w:cs="Times New Roman"/>
                <w:color w:val="000000" w:themeColor="text1"/>
                <w:sz w:val="14"/>
                <w:szCs w:val="14"/>
              </w:rPr>
            </w:pPr>
          </w:p>
        </w:tc>
        <w:tc>
          <w:tcPr>
            <w:tcW w:w="253" w:type="pct"/>
            <w:vMerge w:val="restart"/>
          </w:tcPr>
          <w:p w:rsidR="002E74AB" w:rsidRPr="009D498A" w:rsidRDefault="002E74AB" w:rsidP="002E74AB">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2E74AB">
            <w:pPr>
              <w:rPr>
                <w:rFonts w:ascii="Times New Roman" w:hAnsi="Times New Roman" w:cs="Times New Roman"/>
                <w:color w:val="000000" w:themeColor="text1"/>
                <w:sz w:val="14"/>
                <w:szCs w:val="14"/>
              </w:rPr>
            </w:pPr>
          </w:p>
        </w:tc>
        <w:tc>
          <w:tcPr>
            <w:tcW w:w="465" w:type="pct"/>
            <w:vMerge/>
          </w:tcPr>
          <w:p w:rsidR="002E74AB" w:rsidRPr="009D498A" w:rsidRDefault="002E74AB" w:rsidP="002E74AB">
            <w:pPr>
              <w:jc w:val="center"/>
              <w:rPr>
                <w:rFonts w:ascii="Times New Roman" w:hAnsi="Times New Roman" w:cs="Times New Roman"/>
                <w:color w:val="000000" w:themeColor="text1"/>
                <w:sz w:val="14"/>
                <w:szCs w:val="14"/>
                <w:shd w:val="clear" w:color="auto" w:fill="FFFFFF"/>
              </w:rPr>
            </w:pPr>
          </w:p>
        </w:tc>
        <w:tc>
          <w:tcPr>
            <w:tcW w:w="313"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531" w:type="pct"/>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Количество выполняемых исследований</w:t>
            </w:r>
          </w:p>
        </w:tc>
        <w:tc>
          <w:tcPr>
            <w:tcW w:w="576" w:type="pct"/>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250</w:t>
            </w:r>
          </w:p>
        </w:tc>
        <w:tc>
          <w:tcPr>
            <w:tcW w:w="317" w:type="pct"/>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Штука</w:t>
            </w:r>
          </w:p>
        </w:tc>
        <w:tc>
          <w:tcPr>
            <w:tcW w:w="489" w:type="pct"/>
          </w:tcPr>
          <w:p w:rsidR="002E74AB" w:rsidRDefault="002E74AB" w:rsidP="002E74AB">
            <w:pPr>
              <w:jc w:val="center"/>
            </w:pPr>
            <w:r w:rsidRPr="00D45E43">
              <w:rPr>
                <w:rFonts w:ascii="Times New Roman" w:hAnsi="Times New Roman" w:cs="Times New Roman"/>
                <w:color w:val="000000" w:themeColor="text1"/>
                <w:sz w:val="14"/>
                <w:szCs w:val="14"/>
              </w:rPr>
              <w:t>В соответствии с КТРУ</w:t>
            </w:r>
          </w:p>
        </w:tc>
        <w:tc>
          <w:tcPr>
            <w:tcW w:w="489" w:type="pct"/>
          </w:tcPr>
          <w:p w:rsidR="002E74AB" w:rsidRPr="009D498A" w:rsidRDefault="002E74AB" w:rsidP="002E74AB">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2E74AB">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2E74AB">
            <w:pPr>
              <w:jc w:val="center"/>
              <w:rPr>
                <w:rFonts w:ascii="Times New Roman" w:hAnsi="Times New Roman" w:cs="Times New Roman"/>
                <w:color w:val="000000" w:themeColor="text1"/>
                <w:sz w:val="14"/>
                <w:szCs w:val="14"/>
              </w:rPr>
            </w:pPr>
          </w:p>
        </w:tc>
      </w:tr>
      <w:tr w:rsidR="002E74AB" w:rsidRPr="009D498A" w:rsidTr="009A47B2">
        <w:trPr>
          <w:trHeight w:val="1932"/>
        </w:trPr>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Назначение</w:t>
            </w: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Набор реагентов для использования в лабораторных условиях для выявления целевых антител иммуногистохимическими методами на срезах зафиксированных формалином, залитых в парафин и замороженных тканей с помощью стейнеров Ventana.</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Состав набора</w:t>
            </w:r>
          </w:p>
          <w:p w:rsidR="002E74AB" w:rsidRPr="009D498A" w:rsidRDefault="002E74AB" w:rsidP="00F258C1">
            <w:pPr>
              <w:jc w:val="center"/>
              <w:rPr>
                <w:rFonts w:ascii="Times New Roman" w:hAnsi="Times New Roman" w:cs="Times New Roman"/>
                <w:color w:val="000000" w:themeColor="text1"/>
                <w:sz w:val="14"/>
                <w:szCs w:val="14"/>
              </w:rPr>
            </w:pP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Пластиковые флаконы-дозаторы с реагентами:</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1: ингибитор, содержит 3% р-р перекиси водорода.</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2: коктейль антител, меченых пероксидазой хрена (козьи антитела к мышиным IgG и IgM и козьи антитела к кроличьему Ig)  в белоксодержащем буфере с консервантом ProClin 300.</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3: 3, 3'-диаминобензидин тетрахлорид в специально разработанном буфере со специальным консервантом.</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4: 0,04% перекиси водорода в фосфатном буфере.</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5: сульфат меди в ацетатном буфере со специальным консервантом.</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В соответствии с инструкцией по эксплуатации оборудования</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Объем одного дозатора</w:t>
            </w: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sz w:val="14"/>
                <w:szCs w:val="14"/>
                <w:shd w:val="clear" w:color="auto" w:fill="FFFFFF"/>
              </w:rPr>
              <w:t>≥ 25</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Мл</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Из расчета на определенное количество исследований на анализаторе</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Участник закупки указывает в заявке конкретное значение характеристики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3E6F1F">
        <w:trPr>
          <w:trHeight w:val="654"/>
        </w:trPr>
        <w:tc>
          <w:tcPr>
            <w:tcW w:w="147" w:type="pct"/>
            <w:vMerge w:val="restart"/>
            <w:tcBorders>
              <w:bottom w:val="single" w:sz="4" w:space="0" w:color="auto"/>
            </w:tcBorders>
          </w:tcPr>
          <w:p w:rsidR="002E74AB" w:rsidRPr="009D498A" w:rsidRDefault="002E74AB" w:rsidP="002E74AB">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3</w:t>
            </w:r>
          </w:p>
        </w:tc>
        <w:tc>
          <w:tcPr>
            <w:tcW w:w="465"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shd w:val="clear" w:color="auto" w:fill="FFFFFF"/>
              </w:rPr>
            </w:pPr>
            <w:r w:rsidRPr="009D498A">
              <w:rPr>
                <w:rFonts w:ascii="Times New Roman" w:hAnsi="Times New Roman" w:cs="Times New Roman"/>
                <w:color w:val="000000" w:themeColor="text1"/>
                <w:sz w:val="14"/>
                <w:szCs w:val="14"/>
                <w:shd w:val="clear" w:color="auto" w:fill="FFFFFF"/>
              </w:rPr>
              <w:t>Иммуногистохимическое определение антител ИВД, набор, иммуногистохимическая реакция с ферментной меткой</w:t>
            </w:r>
          </w:p>
          <w:p w:rsidR="002E74AB" w:rsidRPr="009D498A" w:rsidRDefault="002E74AB" w:rsidP="002E74AB">
            <w:pPr>
              <w:jc w:val="center"/>
              <w:rPr>
                <w:rFonts w:ascii="Times New Roman" w:hAnsi="Times New Roman" w:cs="Times New Roman"/>
                <w:color w:val="000000" w:themeColor="text1"/>
                <w:sz w:val="14"/>
                <w:szCs w:val="14"/>
              </w:rPr>
            </w:pPr>
          </w:p>
        </w:tc>
        <w:tc>
          <w:tcPr>
            <w:tcW w:w="313"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shd w:val="clear" w:color="auto" w:fill="FFFFFF"/>
              </w:rPr>
              <w:t>21.20.23.110-00001311</w:t>
            </w:r>
            <w:r>
              <w:rPr>
                <w:rFonts w:ascii="Times New Roman" w:hAnsi="Times New Roman" w:cs="Times New Roman"/>
                <w:color w:val="000000" w:themeColor="text1"/>
                <w:sz w:val="14"/>
                <w:szCs w:val="14"/>
                <w:shd w:val="clear" w:color="auto" w:fill="FFFFFF"/>
              </w:rPr>
              <w:t>*</w:t>
            </w:r>
          </w:p>
        </w:tc>
        <w:tc>
          <w:tcPr>
            <w:tcW w:w="265"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5</w:t>
            </w:r>
          </w:p>
        </w:tc>
        <w:tc>
          <w:tcPr>
            <w:tcW w:w="488"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Набор</w:t>
            </w:r>
          </w:p>
          <w:p w:rsidR="002E74AB" w:rsidRPr="009D498A" w:rsidRDefault="002E74AB" w:rsidP="00F258C1">
            <w:pPr>
              <w:jc w:val="center"/>
              <w:rPr>
                <w:rFonts w:ascii="Times New Roman" w:hAnsi="Times New Roman" w:cs="Times New Roman"/>
                <w:color w:val="000000" w:themeColor="text1"/>
                <w:sz w:val="14"/>
                <w:szCs w:val="14"/>
              </w:rPr>
            </w:pPr>
          </w:p>
        </w:tc>
        <w:tc>
          <w:tcPr>
            <w:tcW w:w="531" w:type="pc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Назначение</w:t>
            </w:r>
          </w:p>
        </w:tc>
        <w:tc>
          <w:tcPr>
            <w:tcW w:w="576" w:type="pc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Для автоматических иммуностейнеров серии BenchMark</w:t>
            </w:r>
          </w:p>
        </w:tc>
        <w:tc>
          <w:tcPr>
            <w:tcW w:w="317" w:type="pc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p>
        </w:tc>
        <w:tc>
          <w:tcPr>
            <w:tcW w:w="489" w:type="pc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В соответствии с КТРУ</w:t>
            </w:r>
          </w:p>
        </w:tc>
        <w:tc>
          <w:tcPr>
            <w:tcW w:w="489" w:type="pc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val="restart"/>
            <w:tcBorders>
              <w:bottom w:val="single" w:sz="4" w:space="0" w:color="auto"/>
            </w:tcBorders>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F258C1">
            <w:pP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shd w:val="clear" w:color="auto" w:fill="FFFFFF"/>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Количество выполняемых исследований</w:t>
            </w: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250</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Штука</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В соответствии с КТРУ</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E90090">
        <w:trPr>
          <w:trHeight w:val="2415"/>
        </w:trPr>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Назначение</w:t>
            </w: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Набор реагентов, предназначенный для выявления клеток-мишеней иммуногистохимическим методом в фиксированных формалином, парафинированных и замороженных срезах тканей, окрашенных при помощи автоматических иммуногистостейнеров VENTANA и визуализируемых световой микроскопией.</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Обусловлено требованиями к оптимизации лабораторного процесса при эксплуатации оборудования</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Состав набора</w:t>
            </w:r>
          </w:p>
          <w:p w:rsidR="002E74AB" w:rsidRPr="009D498A" w:rsidRDefault="002E74AB" w:rsidP="00F258C1">
            <w:pPr>
              <w:jc w:val="center"/>
              <w:rPr>
                <w:rFonts w:ascii="Times New Roman" w:hAnsi="Times New Roman" w:cs="Times New Roman"/>
                <w:color w:val="000000" w:themeColor="text1"/>
                <w:sz w:val="14"/>
                <w:szCs w:val="14"/>
              </w:rPr>
            </w:pP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6 пластиковых дозаторов с реагентами в составе:</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1: реагент, содержащий раствор перекиси водорода.</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2: смесь отмеченных HQ (гаптен, ковалентно связанный с козьими антителами) антител (козьи антитела к мышиным IgG, козьи антитела к мышиным IgM и козьи антитела к кроличьим антигенам) в буфере, содержащем белок и ProClin 300 в качестве консерванта.</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3: реагент, содержащий мышиное моноклональное отмеченное anti-HQ, содержащее пероксидазу хрена, третичное антитело в буфере, содержащем белок и ProClin 300 в качестве консерванта.</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4: реагент, содержащий перекись водорода в фосфатно-буферном растворе.</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5: реагент, содержащий 3, 3’ –диаминобензидина тетрагидрохлоридом (DAB) в соответствующем стабилизирующем растворе с соответствующим консервантом.</w:t>
            </w:r>
          </w:p>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Дозатор 6: сульфат в ацетатном буфере с соответствующим консервантом.</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В соответствии с инструкцией по эксплуатации оборудования</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Значение характеристики не может изменяться участником закупки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r w:rsidR="002E74AB" w:rsidRPr="009D498A" w:rsidTr="0089036F">
        <w:tc>
          <w:tcPr>
            <w:tcW w:w="147"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31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65"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48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531"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Объем одного дозатора</w:t>
            </w:r>
          </w:p>
        </w:tc>
        <w:tc>
          <w:tcPr>
            <w:tcW w:w="576"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sz w:val="14"/>
                <w:szCs w:val="14"/>
                <w:shd w:val="clear" w:color="auto" w:fill="FFFFFF"/>
              </w:rPr>
              <w:t>≥ 25</w:t>
            </w:r>
          </w:p>
        </w:tc>
        <w:tc>
          <w:tcPr>
            <w:tcW w:w="317"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Мл</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Из расчета на определенное количество исследований на анализаторе</w:t>
            </w:r>
          </w:p>
        </w:tc>
        <w:tc>
          <w:tcPr>
            <w:tcW w:w="489" w:type="pct"/>
          </w:tcPr>
          <w:p w:rsidR="002E74AB" w:rsidRPr="009D498A" w:rsidRDefault="002E74AB" w:rsidP="00F258C1">
            <w:pPr>
              <w:jc w:val="center"/>
              <w:rPr>
                <w:rFonts w:ascii="Times New Roman" w:hAnsi="Times New Roman" w:cs="Times New Roman"/>
                <w:color w:val="000000" w:themeColor="text1"/>
                <w:sz w:val="14"/>
                <w:szCs w:val="14"/>
              </w:rPr>
            </w:pPr>
            <w:r w:rsidRPr="009D498A">
              <w:rPr>
                <w:rFonts w:ascii="Times New Roman" w:hAnsi="Times New Roman" w:cs="Times New Roman"/>
                <w:color w:val="000000" w:themeColor="text1"/>
                <w:sz w:val="14"/>
                <w:szCs w:val="14"/>
              </w:rPr>
              <w:t>Участник закупки указывает в заявке конкретное значение характеристики</w:t>
            </w:r>
          </w:p>
        </w:tc>
        <w:tc>
          <w:tcPr>
            <w:tcW w:w="256"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33"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178" w:type="pct"/>
            <w:vMerge/>
          </w:tcPr>
          <w:p w:rsidR="002E74AB" w:rsidRPr="009D498A" w:rsidRDefault="002E74AB" w:rsidP="00F258C1">
            <w:pPr>
              <w:jc w:val="center"/>
              <w:rPr>
                <w:rFonts w:ascii="Times New Roman" w:hAnsi="Times New Roman" w:cs="Times New Roman"/>
                <w:color w:val="000000" w:themeColor="text1"/>
                <w:sz w:val="14"/>
                <w:szCs w:val="14"/>
              </w:rPr>
            </w:pPr>
          </w:p>
        </w:tc>
        <w:tc>
          <w:tcPr>
            <w:tcW w:w="253" w:type="pct"/>
            <w:vMerge/>
          </w:tcPr>
          <w:p w:rsidR="002E74AB" w:rsidRPr="009D498A" w:rsidRDefault="002E74AB" w:rsidP="00F258C1">
            <w:pPr>
              <w:jc w:val="center"/>
              <w:rPr>
                <w:rFonts w:ascii="Times New Roman" w:hAnsi="Times New Roman" w:cs="Times New Roman"/>
                <w:color w:val="000000" w:themeColor="text1"/>
                <w:sz w:val="14"/>
                <w:szCs w:val="14"/>
              </w:rPr>
            </w:pPr>
          </w:p>
        </w:tc>
      </w:tr>
    </w:tbl>
    <w:p w:rsidR="002E74AB" w:rsidRDefault="002E74AB" w:rsidP="002E74AB">
      <w:pPr>
        <w:spacing w:after="0" w:line="240" w:lineRule="auto"/>
        <w:rPr>
          <w:rFonts w:ascii="Times New Roman" w:eastAsia="Times New Roman" w:hAnsi="Times New Roman" w:cs="Times New Roman"/>
          <w:b/>
          <w:bCs/>
          <w:i/>
          <w:color w:val="000000"/>
          <w:lang w:eastAsia="ru-RU"/>
        </w:rPr>
      </w:pPr>
    </w:p>
    <w:p w:rsidR="002E74AB" w:rsidRDefault="002E74AB" w:rsidP="002E74AB">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9D498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A1" w:rsidRDefault="007A30A1">
      <w:pPr>
        <w:spacing w:after="0" w:line="240" w:lineRule="auto"/>
      </w:pPr>
      <w:r>
        <w:separator/>
      </w:r>
    </w:p>
  </w:endnote>
  <w:endnote w:type="continuationSeparator" w:id="0">
    <w:p w:rsidR="007A30A1" w:rsidRDefault="007A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1139" w:rsidRDefault="0078113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113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8113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113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113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50B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113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50B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A1" w:rsidRDefault="007A30A1">
      <w:pPr>
        <w:spacing w:after="0" w:line="240" w:lineRule="auto"/>
      </w:pPr>
      <w:r>
        <w:separator/>
      </w:r>
    </w:p>
  </w:footnote>
  <w:footnote w:type="continuationSeparator" w:id="0">
    <w:p w:rsidR="007A30A1" w:rsidRDefault="007A30A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1139" w:rsidRDefault="0078113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1139" w:rsidRDefault="0078113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1139" w:rsidRDefault="0078113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E74AB"/>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139"/>
    <w:rsid w:val="00781335"/>
    <w:rsid w:val="007837E5"/>
    <w:rsid w:val="00786E1B"/>
    <w:rsid w:val="007922BC"/>
    <w:rsid w:val="00792FF6"/>
    <w:rsid w:val="007A30A1"/>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036F"/>
    <w:rsid w:val="00893080"/>
    <w:rsid w:val="0089339B"/>
    <w:rsid w:val="00894C5B"/>
    <w:rsid w:val="008A7058"/>
    <w:rsid w:val="008A77E7"/>
    <w:rsid w:val="008B0A94"/>
    <w:rsid w:val="008B64C5"/>
    <w:rsid w:val="008C3D38"/>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498A"/>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77E7"/>
    <w:rsid w:val="00CC4773"/>
    <w:rsid w:val="00CD1DB9"/>
    <w:rsid w:val="00CD1E24"/>
    <w:rsid w:val="00CD3089"/>
    <w:rsid w:val="00CF19F4"/>
    <w:rsid w:val="00CF1A90"/>
    <w:rsid w:val="00CF2914"/>
    <w:rsid w:val="00D04875"/>
    <w:rsid w:val="00D11DE0"/>
    <w:rsid w:val="00D150B4"/>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A78B-A665-48D0-A745-918614BA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2026-05-15T09:00:00Z</dcterms:created>
  <dcterms:modified xsi:type="dcterms:W3CDTF">2026-05-15T09:00:00Z</dcterms:modified>
</cp:coreProperties>
</file>