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21.1-03/2178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2077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расходных материалов для отделения эндоскопии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10.12.2026. Максимальное количество партий - 5 (пять).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или СТ-1)</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ook w:val="04A0" w:firstRow="1" w:lastRow="0" w:firstColumn="1" w:lastColumn="0" w:noHBand="0" w:noVBand="1"/>
      </w:tblPr>
      <w:tblGrid>
        <w:gridCol w:w="1143"/>
        <w:gridCol w:w="1058"/>
        <w:gridCol w:w="1353"/>
        <w:gridCol w:w="1131"/>
        <w:gridCol w:w="1131"/>
        <w:gridCol w:w="1131"/>
        <w:gridCol w:w="1366"/>
        <w:gridCol w:w="826"/>
        <w:gridCol w:w="896"/>
        <w:gridCol w:w="2184"/>
        <w:gridCol w:w="1048"/>
        <w:gridCol w:w="1490"/>
        <w:gridCol w:w="1192"/>
      </w:tblGrid>
      <w:tr w:rsidR="003A5503" w:rsidRPr="003A5503" w:rsidTr="003A5503">
        <w:trPr>
          <w:trHeight w:val="499"/>
        </w:trPr>
        <w:tc>
          <w:tcPr>
            <w:tcW w:w="42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Наименование товара, работы, услуги</w:t>
            </w:r>
          </w:p>
        </w:tc>
        <w:tc>
          <w:tcPr>
            <w:tcW w:w="39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Код позиции</w:t>
            </w:r>
          </w:p>
        </w:tc>
        <w:tc>
          <w:tcPr>
            <w:tcW w:w="2300" w:type="pct"/>
            <w:gridSpan w:val="5"/>
            <w:tcBorders>
              <w:top w:val="single" w:sz="8" w:space="0" w:color="auto"/>
              <w:left w:val="nil"/>
              <w:bottom w:val="single" w:sz="8" w:space="0" w:color="auto"/>
              <w:right w:val="single" w:sz="8" w:space="0" w:color="000000"/>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Характеристики товара, работы, услуги</w:t>
            </w:r>
          </w:p>
        </w:tc>
        <w:tc>
          <w:tcPr>
            <w:tcW w:w="30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Единица измерения</w:t>
            </w:r>
          </w:p>
        </w:tc>
        <w:tc>
          <w:tcPr>
            <w:tcW w:w="330" w:type="pct"/>
            <w:vMerge w:val="restart"/>
            <w:tcBorders>
              <w:top w:val="single" w:sz="8" w:space="0" w:color="auto"/>
              <w:left w:val="single" w:sz="8" w:space="0" w:color="auto"/>
              <w:bottom w:val="single" w:sz="8" w:space="0" w:color="000000"/>
              <w:right w:val="nil"/>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Количество</w:t>
            </w:r>
          </w:p>
        </w:tc>
        <w:tc>
          <w:tcPr>
            <w:tcW w:w="464"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3A5503" w:rsidRPr="003A5503" w:rsidRDefault="003A5503" w:rsidP="003A5503">
            <w:pPr>
              <w:spacing w:after="0" w:line="240" w:lineRule="auto"/>
              <w:jc w:val="center"/>
              <w:rPr>
                <w:rFonts w:ascii="Calibri" w:eastAsia="Times New Roman" w:hAnsi="Calibri" w:cs="Times New Roman"/>
                <w:color w:val="000000"/>
                <w:lang w:eastAsia="ru-RU"/>
              </w:rPr>
            </w:pPr>
            <w:r w:rsidRPr="003A5503">
              <w:rPr>
                <w:rFonts w:ascii="Calibri" w:eastAsia="Times New Roman" w:hAnsi="Calibri" w:cs="Times New Roman"/>
                <w:color w:val="000000"/>
                <w:lang w:eastAsia="ru-RU"/>
              </w:rPr>
              <w:t>Страна происхождения Товара</w:t>
            </w:r>
          </w:p>
        </w:tc>
        <w:tc>
          <w:tcPr>
            <w:tcW w:w="26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3A5503" w:rsidRPr="003A5503" w:rsidRDefault="003A5503" w:rsidP="003A5503">
            <w:pPr>
              <w:spacing w:after="0" w:line="240" w:lineRule="auto"/>
              <w:jc w:val="center"/>
              <w:rPr>
                <w:rFonts w:ascii="Calibri" w:eastAsia="Times New Roman" w:hAnsi="Calibri" w:cs="Times New Roman"/>
                <w:color w:val="000000"/>
                <w:lang w:eastAsia="ru-RU"/>
              </w:rPr>
            </w:pPr>
            <w:r w:rsidRPr="003A5503">
              <w:rPr>
                <w:rFonts w:ascii="Calibri" w:eastAsia="Times New Roman" w:hAnsi="Calibri" w:cs="Times New Roman"/>
                <w:color w:val="000000"/>
                <w:lang w:eastAsia="ru-RU"/>
              </w:rPr>
              <w:t>Ставка НДС%</w:t>
            </w:r>
          </w:p>
        </w:tc>
        <w:tc>
          <w:tcPr>
            <w:tcW w:w="26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3A5503" w:rsidRPr="003A5503" w:rsidRDefault="003A5503" w:rsidP="003A5503">
            <w:pPr>
              <w:spacing w:after="0" w:line="240" w:lineRule="auto"/>
              <w:jc w:val="center"/>
              <w:rPr>
                <w:rFonts w:ascii="Calibri" w:eastAsia="Times New Roman" w:hAnsi="Calibri" w:cs="Times New Roman"/>
                <w:color w:val="000000"/>
                <w:lang w:eastAsia="ru-RU"/>
              </w:rPr>
            </w:pPr>
            <w:r w:rsidRPr="003A5503">
              <w:rPr>
                <w:rFonts w:ascii="Calibri" w:eastAsia="Times New Roman" w:hAnsi="Calibri" w:cs="Times New Roman"/>
                <w:color w:val="000000"/>
                <w:lang w:eastAsia="ru-RU"/>
              </w:rPr>
              <w:t>Цена за ед. без НДС</w:t>
            </w:r>
          </w:p>
        </w:tc>
        <w:tc>
          <w:tcPr>
            <w:tcW w:w="26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3A5503" w:rsidRPr="003A5503" w:rsidRDefault="003A5503" w:rsidP="003A5503">
            <w:pPr>
              <w:spacing w:after="0" w:line="240" w:lineRule="auto"/>
              <w:jc w:val="center"/>
              <w:rPr>
                <w:rFonts w:ascii="Calibri" w:eastAsia="Times New Roman" w:hAnsi="Calibri" w:cs="Times New Roman"/>
                <w:color w:val="000000"/>
                <w:lang w:eastAsia="ru-RU"/>
              </w:rPr>
            </w:pPr>
            <w:r w:rsidRPr="003A5503">
              <w:rPr>
                <w:rFonts w:ascii="Calibri" w:eastAsia="Times New Roman" w:hAnsi="Calibri" w:cs="Times New Roman"/>
                <w:color w:val="000000"/>
                <w:lang w:eastAsia="ru-RU"/>
              </w:rPr>
              <w:t>Сумма без НДС</w:t>
            </w:r>
          </w:p>
        </w:tc>
      </w:tr>
      <w:tr w:rsidR="003A5503" w:rsidRPr="003A5503" w:rsidTr="003A5503">
        <w:trPr>
          <w:trHeight w:val="499"/>
        </w:trPr>
        <w:tc>
          <w:tcPr>
            <w:tcW w:w="429" w:type="pct"/>
            <w:vMerge/>
            <w:tcBorders>
              <w:top w:val="single" w:sz="8" w:space="0" w:color="auto"/>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94" w:type="pct"/>
            <w:vMerge/>
            <w:tcBorders>
              <w:top w:val="single" w:sz="8" w:space="0" w:color="auto"/>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Наименование характеристики</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Единица измерения характеристики</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Инструкция по заполнению характеристик в заявке</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Обоснование дополнительных характеристик</w:t>
            </w:r>
          </w:p>
        </w:tc>
        <w:tc>
          <w:tcPr>
            <w:tcW w:w="302" w:type="pct"/>
            <w:vMerge/>
            <w:tcBorders>
              <w:top w:val="single" w:sz="8" w:space="0" w:color="auto"/>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single" w:sz="8" w:space="0" w:color="auto"/>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single" w:sz="4" w:space="0" w:color="auto"/>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single" w:sz="4" w:space="0" w:color="auto"/>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single" w:sz="4" w:space="0" w:color="auto"/>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single" w:sz="4" w:space="0" w:color="auto"/>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b/>
                <w:bCs/>
                <w:color w:val="000000"/>
                <w:sz w:val="20"/>
                <w:szCs w:val="20"/>
                <w:lang w:eastAsia="ru-RU"/>
              </w:rPr>
            </w:pPr>
            <w:r w:rsidRPr="003A5503">
              <w:rPr>
                <w:rFonts w:ascii="Times New Roman" w:eastAsia="Times New Roman" w:hAnsi="Times New Roman" w:cs="Times New Roman"/>
                <w:b/>
                <w:bCs/>
                <w:color w:val="000000"/>
                <w:sz w:val="20"/>
                <w:szCs w:val="20"/>
                <w:lang w:eastAsia="ru-RU"/>
              </w:rPr>
              <w:t>Игла биопсийная к гибкому эндоскопу, одноразового использования</w:t>
            </w:r>
          </w:p>
        </w:tc>
        <w:tc>
          <w:tcPr>
            <w:tcW w:w="394"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420777" w:rsidP="003A5503">
            <w:pPr>
              <w:spacing w:after="0" w:line="240" w:lineRule="auto"/>
              <w:rPr>
                <w:rFonts w:ascii="Calibri" w:eastAsia="Times New Roman" w:hAnsi="Calibri" w:cs="Times New Roman"/>
                <w:color w:val="0563C1"/>
                <w:u w:val="single"/>
                <w:lang w:eastAsia="ru-RU"/>
              </w:rPr>
            </w:pPr>
            <w:hyperlink r:id="rId18" w:tgtFrame="_blank" w:history="1">
              <w:r w:rsidR="003A5503" w:rsidRPr="003A5503">
                <w:rPr>
                  <w:rFonts w:ascii="Calibri" w:eastAsia="Times New Roman" w:hAnsi="Calibri" w:cs="Times New Roman"/>
                  <w:color w:val="0563C1"/>
                  <w:u w:val="single"/>
                  <w:lang w:eastAsia="ru-RU"/>
                </w:rPr>
                <w:t>32.50.13.110-00005076**</w:t>
              </w:r>
            </w:hyperlink>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Calibri" w:hAnsi="Times New Roman" w:cs="Times New Roman"/>
                <w:color w:val="000000"/>
                <w:sz w:val="20"/>
                <w:szCs w:val="20"/>
                <w:lang w:eastAsia="ru-RU"/>
              </w:rPr>
              <w:t>Игла для ультразвуковой эндоскопии</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соответствие</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xml:space="preserve">Для проведения тонкоигольной трансбронхиальной биопсии </w:t>
            </w:r>
          </w:p>
        </w:tc>
        <w:tc>
          <w:tcPr>
            <w:tcW w:w="302"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Штука</w:t>
            </w:r>
          </w:p>
        </w:tc>
        <w:tc>
          <w:tcPr>
            <w:tcW w:w="330" w:type="pct"/>
            <w:vMerge w:val="restart"/>
            <w:tcBorders>
              <w:top w:val="nil"/>
              <w:left w:val="single" w:sz="8" w:space="0" w:color="auto"/>
              <w:bottom w:val="single" w:sz="8" w:space="0" w:color="000000"/>
              <w:right w:val="nil"/>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15</w:t>
            </w:r>
          </w:p>
        </w:tc>
        <w:tc>
          <w:tcPr>
            <w:tcW w:w="464"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3A5503" w:rsidRPr="003A5503" w:rsidRDefault="003A5503" w:rsidP="003A5503">
            <w:pPr>
              <w:spacing w:after="0" w:line="240" w:lineRule="auto"/>
              <w:jc w:val="center"/>
              <w:rPr>
                <w:rFonts w:ascii="Calibri" w:eastAsia="Times New Roman" w:hAnsi="Calibri" w:cs="Times New Roman"/>
                <w:color w:val="000000"/>
                <w:lang w:eastAsia="ru-RU"/>
              </w:rPr>
            </w:pPr>
            <w:r w:rsidRPr="003A5503">
              <w:rPr>
                <w:rFonts w:ascii="Calibri" w:eastAsia="Times New Roman" w:hAnsi="Calibri" w:cs="Times New Roman"/>
                <w:color w:val="000000"/>
                <w:lang w:eastAsia="ru-RU"/>
              </w:rPr>
              <w:t> </w:t>
            </w:r>
          </w:p>
        </w:tc>
        <w:tc>
          <w:tcPr>
            <w:tcW w:w="260"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3A5503" w:rsidRPr="003A5503" w:rsidRDefault="003A5503" w:rsidP="003A5503">
            <w:pPr>
              <w:spacing w:after="0" w:line="240" w:lineRule="auto"/>
              <w:jc w:val="center"/>
              <w:rPr>
                <w:rFonts w:ascii="Calibri" w:eastAsia="Times New Roman" w:hAnsi="Calibri" w:cs="Times New Roman"/>
                <w:color w:val="000000"/>
                <w:lang w:eastAsia="ru-RU"/>
              </w:rPr>
            </w:pPr>
            <w:r w:rsidRPr="003A5503">
              <w:rPr>
                <w:rFonts w:ascii="Calibri" w:eastAsia="Times New Roman" w:hAnsi="Calibri" w:cs="Times New Roman"/>
                <w:color w:val="000000"/>
                <w:lang w:eastAsia="ru-RU"/>
              </w:rPr>
              <w:t> </w:t>
            </w:r>
          </w:p>
        </w:tc>
        <w:tc>
          <w:tcPr>
            <w:tcW w:w="260"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3A5503" w:rsidRPr="003A5503" w:rsidRDefault="003A5503" w:rsidP="003A5503">
            <w:pPr>
              <w:spacing w:after="0" w:line="240" w:lineRule="auto"/>
              <w:jc w:val="center"/>
              <w:rPr>
                <w:rFonts w:ascii="Calibri" w:eastAsia="Times New Roman" w:hAnsi="Calibri" w:cs="Times New Roman"/>
                <w:color w:val="000000"/>
                <w:lang w:eastAsia="ru-RU"/>
              </w:rPr>
            </w:pPr>
            <w:r w:rsidRPr="003A5503">
              <w:rPr>
                <w:rFonts w:ascii="Calibri" w:eastAsia="Times New Roman" w:hAnsi="Calibri" w:cs="Times New Roman"/>
                <w:color w:val="000000"/>
                <w:lang w:eastAsia="ru-RU"/>
              </w:rPr>
              <w:t> </w:t>
            </w:r>
          </w:p>
        </w:tc>
        <w:tc>
          <w:tcPr>
            <w:tcW w:w="260"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3A5503" w:rsidRPr="003A5503" w:rsidRDefault="003A5503" w:rsidP="003A5503">
            <w:pPr>
              <w:spacing w:after="0" w:line="240" w:lineRule="auto"/>
              <w:jc w:val="center"/>
              <w:rPr>
                <w:rFonts w:ascii="Calibri" w:eastAsia="Times New Roman" w:hAnsi="Calibri" w:cs="Times New Roman"/>
                <w:color w:val="000000"/>
                <w:lang w:eastAsia="ru-RU"/>
              </w:rPr>
            </w:pPr>
            <w:r w:rsidRPr="003A5503">
              <w:rPr>
                <w:rFonts w:ascii="Calibri" w:eastAsia="Times New Roman" w:hAnsi="Calibri" w:cs="Times New Roman"/>
                <w:color w:val="000000"/>
                <w:lang w:eastAsia="ru-RU"/>
              </w:rPr>
              <w:t> </w:t>
            </w: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Материал иглы</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Нитинол</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Предотвращает появление постоянных изгибов при прохождении по искривленному каналу эндоскопа.</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Диаметр иглы</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0.7</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мм</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Участник закупки указывает в заявке конкретное значение характеристики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Оптимальный диаметр для получения достаточного объема гистологического и цитологического материала при минимальной травматизации.</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Диаметр внешней оболочки (тубуса)</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01.авг</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мм</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Обеспечивает совместимость со стандартными рабочими каналами ультразвуковых бронхоскопов.</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Вылет иглы, регулируемый, до 40 мм.</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соответствие</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Позволяет безопасно проводить пункцию очагов, расположенных на различной глубине от стенки бронха.</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Угол заточки иглы</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15</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градус</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Обеспечивает легкое и атравматичное проникновение сквозь плотные хрящевые кольца бронхов и ткани поражения</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Calibri" w:hAnsi="Times New Roman" w:cs="Times New Roman"/>
                <w:color w:val="000000"/>
                <w:sz w:val="20"/>
                <w:szCs w:val="20"/>
                <w:lang w:eastAsia="ru-RU"/>
              </w:rPr>
              <w:t>Специальная пескоструйная обработка кончика иглы - повышенная эхогенность.</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Наличие</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Гарантирует четкую видимость кончика иглы в процессе пункции для максимальной безопасности процедуры</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Механизм фиксации от самопроизвольного выдвижения</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Наличие</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Исключает риск повреждения канала эндоскопа</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Механизм фиксации длины</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Замок типа Twist-Lock</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Предотвращает риск случайного неконтролируемого смещения иглы</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Эргономичная рукоятка с механизмом регулировки длины оболочки и иглы с возможностью управления одной рукой.</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Соответствие</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Позволяет врачу-эндоскописту полностью контролировать процесс пункции</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Адаптер и шприц 5–20  мл.  для введения контраста</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Наличие</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Для эффективной аспирации биоматериала.</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Изделие одноразового применения.</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Соответствие</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Для безопасности пациента.</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2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2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2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517"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Совместима с УЗ эндоскопами ПЕНТАКС</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Соответствие</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17"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Для обеспечения полной технической совместимости инструмента с эксплуатируемыми в отделении УЗ-видео бронхоскопами PENTAX.</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Количество медицинских изделий в упаковке</w:t>
            </w:r>
          </w:p>
        </w:tc>
        <w:tc>
          <w:tcPr>
            <w:tcW w:w="424" w:type="pct"/>
            <w:tcBorders>
              <w:top w:val="nil"/>
              <w:left w:val="nil"/>
              <w:bottom w:val="nil"/>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шт.</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Участник закупки указывает в заявке конкретное значение характеристики</w:t>
            </w:r>
          </w:p>
        </w:tc>
        <w:tc>
          <w:tcPr>
            <w:tcW w:w="517" w:type="pct"/>
            <w:vMerge w:val="restart"/>
            <w:tcBorders>
              <w:top w:val="nil"/>
              <w:left w:val="single" w:sz="8" w:space="0" w:color="auto"/>
              <w:bottom w:val="single" w:sz="8" w:space="0" w:color="000000"/>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Обеспечивает оптимальный ежедневный расход инструментария без риска нарушения стерильности неиспользованных игл.</w:t>
            </w: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r w:rsidR="003A5503" w:rsidRPr="003A5503" w:rsidTr="003A5503">
        <w:trPr>
          <w:trHeight w:val="499"/>
        </w:trPr>
        <w:tc>
          <w:tcPr>
            <w:tcW w:w="429"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b/>
                <w:bCs/>
                <w:color w:val="000000"/>
                <w:sz w:val="20"/>
                <w:szCs w:val="20"/>
                <w:lang w:eastAsia="ru-RU"/>
              </w:rPr>
            </w:pPr>
          </w:p>
        </w:tc>
        <w:tc>
          <w:tcPr>
            <w:tcW w:w="39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563C1"/>
                <w:u w:val="single"/>
                <w:lang w:eastAsia="ru-RU"/>
              </w:rPr>
            </w:pPr>
          </w:p>
        </w:tc>
        <w:tc>
          <w:tcPr>
            <w:tcW w:w="51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24" w:type="pct"/>
            <w:tcBorders>
              <w:top w:val="nil"/>
              <w:left w:val="nil"/>
              <w:bottom w:val="single" w:sz="8" w:space="0" w:color="auto"/>
              <w:right w:val="single" w:sz="8" w:space="0" w:color="auto"/>
            </w:tcBorders>
            <w:shd w:val="clear" w:color="auto" w:fill="auto"/>
            <w:vAlign w:val="center"/>
            <w:hideMark/>
          </w:tcPr>
          <w:p w:rsidR="003A5503" w:rsidRPr="003A5503" w:rsidRDefault="003A5503" w:rsidP="003A5503">
            <w:pPr>
              <w:spacing w:after="0" w:line="240" w:lineRule="auto"/>
              <w:jc w:val="center"/>
              <w:rPr>
                <w:rFonts w:ascii="Times New Roman" w:eastAsia="Times New Roman" w:hAnsi="Times New Roman" w:cs="Times New Roman"/>
                <w:color w:val="000000"/>
                <w:sz w:val="20"/>
                <w:szCs w:val="20"/>
                <w:lang w:eastAsia="ru-RU"/>
              </w:rPr>
            </w:pPr>
            <w:r w:rsidRPr="003A5503">
              <w:rPr>
                <w:rFonts w:ascii="Times New Roman" w:eastAsia="Times New Roman" w:hAnsi="Times New Roman" w:cs="Times New Roman"/>
                <w:color w:val="000000"/>
                <w:sz w:val="20"/>
                <w:szCs w:val="20"/>
                <w:lang w:eastAsia="ru-RU"/>
              </w:rPr>
              <w:t>≥ 5</w:t>
            </w:r>
          </w:p>
        </w:tc>
        <w:tc>
          <w:tcPr>
            <w:tcW w:w="42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24"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517"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02" w:type="pct"/>
            <w:vMerge/>
            <w:tcBorders>
              <w:top w:val="nil"/>
              <w:left w:val="single" w:sz="8" w:space="0" w:color="auto"/>
              <w:bottom w:val="single" w:sz="8" w:space="0" w:color="000000"/>
              <w:right w:val="single" w:sz="8" w:space="0" w:color="auto"/>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330" w:type="pct"/>
            <w:vMerge/>
            <w:tcBorders>
              <w:top w:val="nil"/>
              <w:left w:val="single" w:sz="8" w:space="0" w:color="auto"/>
              <w:bottom w:val="single" w:sz="8" w:space="0" w:color="000000"/>
              <w:right w:val="nil"/>
            </w:tcBorders>
            <w:vAlign w:val="center"/>
            <w:hideMark/>
          </w:tcPr>
          <w:p w:rsidR="003A5503" w:rsidRPr="003A5503" w:rsidRDefault="003A5503" w:rsidP="003A5503">
            <w:pPr>
              <w:spacing w:after="0" w:line="240" w:lineRule="auto"/>
              <w:rPr>
                <w:rFonts w:ascii="Times New Roman" w:eastAsia="Times New Roman" w:hAnsi="Times New Roman" w:cs="Times New Roman"/>
                <w:color w:val="000000"/>
                <w:sz w:val="20"/>
                <w:szCs w:val="20"/>
                <w:lang w:eastAsia="ru-RU"/>
              </w:rPr>
            </w:pPr>
          </w:p>
        </w:tc>
        <w:tc>
          <w:tcPr>
            <w:tcW w:w="464"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3A5503" w:rsidRPr="003A5503" w:rsidRDefault="003A5503" w:rsidP="003A5503">
            <w:pPr>
              <w:spacing w:after="0" w:line="240" w:lineRule="auto"/>
              <w:rPr>
                <w:rFonts w:ascii="Calibri" w:eastAsia="Times New Roman" w:hAnsi="Calibri" w:cs="Times New Roman"/>
                <w:color w:val="000000"/>
                <w:lang w:eastAsia="ru-RU"/>
              </w:rPr>
            </w:pPr>
          </w:p>
        </w:tc>
      </w:tr>
    </w:tbl>
    <w:p w:rsidR="003A5503" w:rsidRDefault="003A5503" w:rsidP="003A5503">
      <w:pPr>
        <w:autoSpaceDE w:val="0"/>
        <w:autoSpaceDN w:val="0"/>
        <w:adjustRightInd w:val="0"/>
        <w:rPr>
          <w:rFonts w:ascii="Times New Roman CYR" w:hAnsi="Times New Roman CYR" w:cs="Times New Roman CYR"/>
          <w:b/>
          <w:bCs/>
        </w:rPr>
      </w:pPr>
      <w:r>
        <w:rPr>
          <w:rFonts w:ascii="Times New Roman CYR" w:hAnsi="Times New Roman CYR" w:cs="Times New Roman CYR"/>
          <w:b/>
          <w:bCs/>
        </w:rPr>
        <w:t>**</w:t>
      </w:r>
      <w:r>
        <w:rPr>
          <w:rFonts w:ascii="Times New Roman CYR" w:hAnsi="Times New Roman CYR" w:cs="Times New Roman CYR"/>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Pr>
          <w:rFonts w:ascii="Times New Roman CYR" w:hAnsi="Times New Roman CYR" w:cs="Times New Roman CYR"/>
          <w:b/>
          <w:bCs/>
        </w:rPr>
        <w:t xml:space="preserve"> </w:t>
      </w:r>
      <w:r w:rsidRPr="003A5503">
        <w:rPr>
          <w:rFonts w:ascii="Roboto" w:hAnsi="Roboto" w:cs="Roboto"/>
          <w:color w:val="333333"/>
          <w:highlight w:val="white"/>
        </w:rPr>
        <w:t>(</w:t>
      </w:r>
      <w:hyperlink r:id="rId19" w:history="1">
        <w:r>
          <w:rPr>
            <w:rFonts w:ascii="Calibri" w:hAnsi="Calibri" w:cs="Calibri"/>
            <w:color w:val="0064E0"/>
            <w:highlight w:val="white"/>
            <w:u w:val="single"/>
          </w:rPr>
          <w:t>письмо</w:t>
        </w:r>
      </w:hyperlink>
      <w:r>
        <w:rPr>
          <w:rFonts w:ascii="Roboto" w:hAnsi="Roboto" w:cs="Roboto"/>
          <w:color w:val="333333"/>
          <w:highlight w:val="white"/>
          <w:lang w:val="en-US"/>
        </w:rPr>
        <w:t> </w:t>
      </w:r>
      <w:r>
        <w:rPr>
          <w:rFonts w:ascii="Calibri" w:hAnsi="Calibri" w:cs="Calibri"/>
          <w:color w:val="333333"/>
          <w:highlight w:val="white"/>
        </w:rPr>
        <w:t>Минфина</w:t>
      </w:r>
      <w:r w:rsidRPr="003A5503">
        <w:rPr>
          <w:rFonts w:ascii="Roboto" w:hAnsi="Roboto" w:cs="Roboto"/>
          <w:color w:val="333333"/>
          <w:highlight w:val="white"/>
        </w:rPr>
        <w:t xml:space="preserve"> </w:t>
      </w:r>
      <w:r>
        <w:rPr>
          <w:rFonts w:ascii="Calibri" w:hAnsi="Calibri" w:cs="Calibri"/>
          <w:color w:val="333333"/>
          <w:highlight w:val="white"/>
        </w:rPr>
        <w:t>России</w:t>
      </w:r>
      <w:r w:rsidRPr="003A5503">
        <w:rPr>
          <w:rFonts w:ascii="Roboto" w:hAnsi="Roboto" w:cs="Roboto"/>
          <w:color w:val="333333"/>
          <w:highlight w:val="white"/>
        </w:rPr>
        <w:t xml:space="preserve"> </w:t>
      </w:r>
      <w:r>
        <w:rPr>
          <w:rFonts w:ascii="Calibri" w:hAnsi="Calibri" w:cs="Calibri"/>
          <w:color w:val="333333"/>
          <w:highlight w:val="white"/>
        </w:rPr>
        <w:t>от</w:t>
      </w:r>
      <w:r w:rsidRPr="003A5503">
        <w:rPr>
          <w:rFonts w:ascii="Roboto" w:hAnsi="Roboto" w:cs="Roboto"/>
          <w:color w:val="333333"/>
          <w:highlight w:val="white"/>
        </w:rPr>
        <w:t xml:space="preserve"> 24 </w:t>
      </w:r>
      <w:r>
        <w:rPr>
          <w:rFonts w:ascii="Calibri" w:hAnsi="Calibri" w:cs="Calibri"/>
          <w:color w:val="333333"/>
          <w:highlight w:val="white"/>
        </w:rPr>
        <w:t>января</w:t>
      </w:r>
      <w:r w:rsidRPr="003A5503">
        <w:rPr>
          <w:rFonts w:ascii="Roboto" w:hAnsi="Roboto" w:cs="Roboto"/>
          <w:color w:val="333333"/>
          <w:highlight w:val="white"/>
        </w:rPr>
        <w:t xml:space="preserve"> 2022 </w:t>
      </w:r>
      <w:r>
        <w:rPr>
          <w:rFonts w:ascii="Calibri" w:hAnsi="Calibri" w:cs="Calibri"/>
          <w:color w:val="333333"/>
          <w:highlight w:val="white"/>
        </w:rPr>
        <w:t>г</w:t>
      </w:r>
      <w:r w:rsidRPr="003A5503">
        <w:rPr>
          <w:rFonts w:ascii="Roboto" w:hAnsi="Roboto" w:cs="Roboto"/>
          <w:color w:val="333333"/>
          <w:highlight w:val="white"/>
        </w:rPr>
        <w:t xml:space="preserve">. </w:t>
      </w:r>
      <w:r>
        <w:rPr>
          <w:rFonts w:ascii="Roboto" w:hAnsi="Roboto" w:cs="Roboto"/>
          <w:color w:val="333333"/>
          <w:highlight w:val="white"/>
          <w:lang w:val="en-US"/>
        </w:rPr>
        <w:t>N</w:t>
      </w:r>
      <w:r w:rsidRPr="003A5503">
        <w:rPr>
          <w:rFonts w:ascii="Roboto" w:hAnsi="Roboto" w:cs="Roboto"/>
          <w:color w:val="333333"/>
          <w:highlight w:val="white"/>
        </w:rPr>
        <w:t xml:space="preserve"> 24-03-08/4090)</w:t>
      </w:r>
    </w:p>
    <w:p w:rsidR="00170252" w:rsidRDefault="00170252" w:rsidP="000820E3">
      <w:pPr>
        <w:rPr>
          <w:rFonts w:ascii="Times New Roman" w:hAnsi="Times New Roman" w:cs="Times New Roman"/>
          <w:b/>
          <w:sz w:val="28"/>
          <w:szCs w:val="28"/>
        </w:rPr>
      </w:pPr>
    </w:p>
    <w:sectPr w:rsidR="00170252" w:rsidSect="003A5503">
      <w:headerReference w:type="first" r:id="rId20"/>
      <w:footerReference w:type="first" r:id="rId21"/>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C9A" w:rsidRDefault="00527C9A">
      <w:pPr>
        <w:spacing w:after="0" w:line="240" w:lineRule="auto"/>
      </w:pPr>
      <w:r>
        <w:separator/>
      </w:r>
    </w:p>
  </w:endnote>
  <w:endnote w:type="continuationSeparator" w:id="0">
    <w:p w:rsidR="00527C9A" w:rsidRDefault="00527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 w:name="Roboto">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20777" w:rsidRDefault="0042077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2077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2077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2077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2077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2077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A5503">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C9A" w:rsidRDefault="00527C9A">
      <w:pPr>
        <w:spacing w:after="0" w:line="240" w:lineRule="auto"/>
      </w:pPr>
      <w:r>
        <w:separator/>
      </w:r>
    </w:p>
  </w:footnote>
  <w:footnote w:type="continuationSeparator" w:id="0">
    <w:p w:rsidR="00527C9A" w:rsidRDefault="00527C9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20777" w:rsidRDefault="0042077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20777" w:rsidRDefault="0042077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20777" w:rsidRDefault="0042077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A5503"/>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77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27C9A"/>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508979153">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zakupki.gov.ru/epz/ktru/ktruCard/ktru-description.html?itemId=32.50.13.110-00005076&amp;backUrl="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minfin.gov.ru/ru/document/?id_4=135394" TargetMode="Externa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84A7A-8E0D-4272-9BE3-C0D1F9633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1447</Words>
  <Characters>8249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2026-10-16T06:16:00Z</dcterms:created>
  <dcterms:modified xsi:type="dcterms:W3CDTF">2026-10-16T06:16:00Z</dcterms:modified>
</cp:coreProperties>
</file>