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_GoBack"/>
      <w:bookmarkEnd w:id="0"/>
      <w:r>
        <w:rPr>
          <w:noProof/>
          <w:lang w:eastAsia="ru-RU"/>
        </w:rPr>
        <w:drawing>
          <wp:inline distT="0" distB="0" distL="0" distR="0" wp14:anchorId="102BF74A" wp14:editId="01BA9E64">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1"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18.02.2020 № 05-07/145</w:t>
            </w:r>
            <w:r w:rsidRPr="00E271DF">
              <w:rPr>
                <w:rFonts w:ascii="Times New Roman" w:hAnsi="Times New Roman" w:cs="Times New Roman"/>
                <w:b/>
                <w:sz w:val="24"/>
                <w:szCs w:val="24"/>
              </w:rPr>
              <w:fldChar w:fldCharType="end"/>
            </w:r>
            <w:bookmarkEnd w:id="1"/>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2"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26.02.2020</w:t>
                  </w:r>
                  <w:r w:rsidRPr="00A70444">
                    <w:rPr>
                      <w:rFonts w:ascii="Times New Roman" w:hAnsi="Times New Roman" w:cs="Times New Roman"/>
                      <w:b/>
                      <w:sz w:val="24"/>
                      <w:szCs w:val="24"/>
                      <w:u w:val="single"/>
                    </w:rPr>
                    <w:fldChar w:fldCharType="end"/>
                  </w:r>
                  <w:bookmarkEnd w:id="2"/>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sz w:val="24"/>
                <w:szCs w:val="24"/>
                <w:u w:val="single"/>
              </w:rPr>
              <w:t>с использованием</w:t>
            </w:r>
            <w:r w:rsidRPr="00CB7BE3">
              <w:rPr>
                <w:rFonts w:ascii="Times New Roman" w:hAnsi="Times New Roman"/>
                <w:sz w:val="24"/>
                <w:szCs w:val="24"/>
                <w:u w:val="single"/>
              </w:rPr>
              <w:t> прилагаемой форм</w:t>
            </w:r>
            <w:r>
              <w:rPr>
                <w:rFonts w:ascii="Times New Roman" w:hAnsi="Times New Roman"/>
                <w:sz w:val="24"/>
                <w:szCs w:val="24"/>
                <w:u w:val="single"/>
              </w:rPr>
              <w:t>ы</w:t>
            </w:r>
            <w:r w:rsidRPr="00CB7BE3">
              <w:rPr>
                <w:rFonts w:ascii="Times New Roman" w:hAnsi="Times New Roman"/>
                <w:sz w:val="24"/>
                <w:szCs w:val="24"/>
                <w:u w:val="single"/>
              </w:rPr>
              <w:t xml:space="preserve"> </w:t>
            </w:r>
            <w:r>
              <w:rPr>
                <w:rFonts w:ascii="Times New Roman" w:hAnsi="Times New Roman"/>
                <w:sz w:val="24"/>
                <w:szCs w:val="24"/>
                <w:u w:val="single"/>
              </w:rPr>
              <w:t>описания  товара/работы/услуги</w:t>
            </w:r>
            <w:r w:rsidRPr="00450429">
              <w:rPr>
                <w:rFonts w:ascii="Times New Roman" w:hAnsi="Times New Roman"/>
                <w:sz w:val="24"/>
                <w:szCs w:val="24"/>
              </w:rPr>
              <w:t xml:space="preserve"> и направить их по адресу: </w:t>
            </w:r>
            <w:r w:rsidRPr="00637F5D">
              <w:rPr>
                <w:rFonts w:ascii="Times New Roman" w:hAnsi="Times New Roman"/>
                <w:b/>
                <w:sz w:val="24"/>
                <w:szCs w:val="24"/>
              </w:rPr>
              <w:t>Санкт-Петербург, пос. Песочный, ул. Ленинградская, д.68, здание административного корпуса, канцелярия</w:t>
            </w:r>
            <w:r w:rsidRPr="00450429">
              <w:rPr>
                <w:rFonts w:ascii="Times New Roman" w:hAnsi="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1C3FE4"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КП </w:t>
            </w:r>
            <w:r>
              <w:rPr>
                <w:rFonts w:ascii="Times New Roman" w:hAnsi="Times New Roman"/>
                <w:sz w:val="24"/>
                <w:szCs w:val="24"/>
                <w:lang w:eastAsia="ru-RU"/>
              </w:rPr>
              <w:t>должно быть подписано руководителем или иным уполномоченным лицом и заверено печатью (при наличии)</w:t>
            </w:r>
            <w:r w:rsidRPr="00450429">
              <w:rPr>
                <w:rFonts w:ascii="Times New Roman" w:hAnsi="Times New Roman"/>
                <w:sz w:val="24"/>
                <w:szCs w:val="24"/>
              </w:rPr>
              <w:t>.</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FC0A3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15418" w:type="dxa"/>
        <w:tblInd w:w="108" w:type="dxa"/>
        <w:tblLook w:val="04A0" w:firstRow="1" w:lastRow="0" w:firstColumn="1" w:lastColumn="0" w:noHBand="0" w:noVBand="1"/>
      </w:tblPr>
      <w:tblGrid>
        <w:gridCol w:w="490"/>
        <w:gridCol w:w="9717"/>
        <w:gridCol w:w="5211"/>
      </w:tblGrid>
      <w:tr w:rsidR="00EE6B83" w:rsidRPr="00E961F8" w:rsidTr="00742657">
        <w:tc>
          <w:tcPr>
            <w:tcW w:w="490" w:type="dxa"/>
            <w:tcBorders>
              <w:top w:val="single" w:sz="4" w:space="0" w:color="auto"/>
            </w:tcBorders>
          </w:tcPr>
          <w:p w:rsidR="00EE6B83" w:rsidRDefault="00EE6B83" w:rsidP="00170252">
            <w:pPr>
              <w:tabs>
                <w:tab w:val="left" w:pos="284"/>
              </w:tabs>
              <w:jc w:val="center"/>
              <w:rPr>
                <w:rFonts w:ascii="Times New Roman" w:hAnsi="Times New Roman" w:cs="Times New Roman"/>
              </w:rPr>
            </w:pPr>
            <w:r>
              <w:rPr>
                <w:rFonts w:ascii="Times New Roman" w:hAnsi="Times New Roman" w:cs="Times New Roman"/>
              </w:rPr>
              <w:lastRenderedPageBreak/>
              <w:t>1.</w:t>
            </w:r>
          </w:p>
        </w:tc>
        <w:tc>
          <w:tcPr>
            <w:tcW w:w="9717" w:type="dxa"/>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5211" w:type="dxa"/>
            <w:tcBorders>
              <w:top w:val="single" w:sz="4" w:space="0" w:color="auto"/>
            </w:tcBorders>
          </w:tcPr>
          <w:p w:rsidR="00EE6B83" w:rsidRDefault="00F73B84" w:rsidP="00742657">
            <w:pPr>
              <w:ind w:right="-1"/>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3"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3"/>
          </w:p>
        </w:tc>
      </w:tr>
      <w:tr w:rsidR="00EE6B83" w:rsidRPr="00E961F8" w:rsidTr="00742657">
        <w:tc>
          <w:tcPr>
            <w:tcW w:w="490" w:type="dxa"/>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9717" w:type="dxa"/>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5211" w:type="dxa"/>
          </w:tcPr>
          <w:p w:rsidR="00EE6B83" w:rsidRPr="004329AE" w:rsidRDefault="00EE6B83" w:rsidP="00742657">
            <w:pPr>
              <w:ind w:right="-1"/>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расходных материалов для отделения лабораторной диагностики</w:t>
            </w:r>
            <w:r w:rsidRPr="004329AE">
              <w:rPr>
                <w:rFonts w:ascii="Times New Roman" w:hAnsi="Times New Roman" w:cs="Times New Roman"/>
                <w:b/>
                <w:sz w:val="24"/>
                <w:szCs w:val="24"/>
              </w:rPr>
              <w:fldChar w:fldCharType="end"/>
            </w:r>
            <w:bookmarkEnd w:id="4"/>
          </w:p>
        </w:tc>
      </w:tr>
      <w:tr w:rsidR="004329AE" w:rsidRPr="00E961F8" w:rsidTr="00742657">
        <w:tc>
          <w:tcPr>
            <w:tcW w:w="490" w:type="dxa"/>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9717" w:type="dxa"/>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5211" w:type="dxa"/>
          </w:tcPr>
          <w:p w:rsidR="004329AE" w:rsidRPr="00472CAA" w:rsidRDefault="005B710E" w:rsidP="00742657">
            <w:pPr>
              <w:ind w:right="-1"/>
              <w:rPr>
                <w:rFonts w:ascii="Times New Roman" w:hAnsi="Times New Roman" w:cs="Times New Roman"/>
                <w:sz w:val="24"/>
                <w:szCs w:val="24"/>
              </w:rPr>
            </w:pPr>
            <w:r w:rsidRPr="005B710E">
              <w:rPr>
                <w:rFonts w:ascii="Times New Roman" w:hAnsi="Times New Roman" w:cs="Times New Roman"/>
                <w:sz w:val="24"/>
                <w:szCs w:val="24"/>
              </w:rPr>
              <w:fldChar w:fldCharType="begin">
                <w:ffData>
                  <w:name w:val="КодОКПД2"/>
                  <w:enabled/>
                  <w:calcOnExit w:val="0"/>
                  <w:textInput>
                    <w:default w:val="КодОКПД2"/>
                  </w:textInput>
                </w:ffData>
              </w:fldChar>
            </w:r>
            <w:bookmarkStart w:id="5" w:name="КодОКПД2"/>
            <w:r w:rsidRPr="005B710E">
              <w:rPr>
                <w:rFonts w:ascii="Times New Roman" w:hAnsi="Times New Roman" w:cs="Times New Roman"/>
                <w:sz w:val="24"/>
                <w:szCs w:val="24"/>
              </w:rPr>
              <w:instrText xml:space="preserve"> FORMTEXT </w:instrText>
            </w:r>
            <w:r w:rsidRPr="005B710E">
              <w:rPr>
                <w:rFonts w:ascii="Times New Roman" w:hAnsi="Times New Roman" w:cs="Times New Roman"/>
                <w:sz w:val="24"/>
                <w:szCs w:val="24"/>
              </w:rPr>
            </w:r>
            <w:r w:rsidRPr="005B710E">
              <w:rPr>
                <w:rFonts w:ascii="Times New Roman" w:hAnsi="Times New Roman" w:cs="Times New Roman"/>
                <w:sz w:val="24"/>
                <w:szCs w:val="24"/>
              </w:rPr>
              <w:fldChar w:fldCharType="separate"/>
            </w:r>
            <w:r w:rsidRPr="005B710E">
              <w:rPr>
                <w:rFonts w:ascii="Times New Roman" w:hAnsi="Times New Roman" w:cs="Times New Roman"/>
                <w:sz w:val="24"/>
                <w:szCs w:val="24"/>
              </w:rPr>
              <w:t>22.29</w:t>
            </w:r>
            <w:r w:rsidRPr="005B710E">
              <w:rPr>
                <w:rFonts w:ascii="Times New Roman" w:hAnsi="Times New Roman" w:cs="Times New Roman"/>
                <w:sz w:val="24"/>
                <w:szCs w:val="24"/>
              </w:rPr>
              <w:fldChar w:fldCharType="end"/>
            </w:r>
            <w:bookmarkEnd w:id="5"/>
          </w:p>
        </w:tc>
      </w:tr>
      <w:tr w:rsidR="00EE6B83" w:rsidRPr="00E961F8" w:rsidTr="00742657">
        <w:tc>
          <w:tcPr>
            <w:tcW w:w="490" w:type="dxa"/>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9717" w:type="dxa"/>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5211" w:type="dxa"/>
          </w:tcPr>
          <w:p w:rsidR="00EE6B83" w:rsidRPr="00402525" w:rsidRDefault="00402525" w:rsidP="00742657">
            <w:pPr>
              <w:ind w:right="-1"/>
              <w:rPr>
                <w:rFonts w:ascii="Times New Roman" w:hAnsi="Times New Roman" w:cs="Times New Roman"/>
                <w:sz w:val="24"/>
                <w:szCs w:val="24"/>
              </w:rPr>
            </w:pPr>
            <w:r w:rsidRPr="00402525">
              <w:rPr>
                <w:rFonts w:ascii="Times New Roman" w:hAnsi="Times New Roman" w:cs="Times New Roman"/>
                <w:sz w:val="24"/>
                <w:szCs w:val="24"/>
              </w:rPr>
              <w:fldChar w:fldCharType="begin">
                <w:ffData>
                  <w:name w:val="Доп_4f2287bd_3"/>
                  <w:enabled/>
                  <w:calcOnExit w:val="0"/>
                  <w:textInput>
                    <w:default w:val="Место исполнения обязательств"/>
                  </w:textInput>
                </w:ffData>
              </w:fldChar>
            </w:r>
            <w:bookmarkStart w:id="6" w:name="Доп_4f2287bd_3"/>
            <w:r w:rsidRPr="00402525">
              <w:rPr>
                <w:rFonts w:ascii="Times New Roman" w:hAnsi="Times New Roman" w:cs="Times New Roman"/>
                <w:sz w:val="24"/>
                <w:szCs w:val="24"/>
              </w:rPr>
              <w:instrText xml:space="preserve"> FORMTEXT </w:instrText>
            </w:r>
            <w:r w:rsidRPr="00402525">
              <w:rPr>
                <w:rFonts w:ascii="Times New Roman" w:hAnsi="Times New Roman" w:cs="Times New Roman"/>
                <w:sz w:val="24"/>
                <w:szCs w:val="24"/>
              </w:rPr>
            </w:r>
            <w:r w:rsidRPr="00402525">
              <w:rPr>
                <w:rFonts w:ascii="Times New Roman" w:hAnsi="Times New Roman" w:cs="Times New Roman"/>
                <w:sz w:val="24"/>
                <w:szCs w:val="24"/>
              </w:rPr>
              <w:fldChar w:fldCharType="separate"/>
            </w:r>
            <w:r w:rsidRPr="00402525">
              <w:rPr>
                <w:rFonts w:ascii="Times New Roman" w:hAnsi="Times New Roman" w:cs="Times New Roman"/>
                <w:sz w:val="24"/>
                <w:szCs w:val="24"/>
              </w:rPr>
              <w:t> </w:t>
            </w:r>
            <w:r w:rsidRPr="00402525">
              <w:rPr>
                <w:rFonts w:ascii="Times New Roman" w:hAnsi="Times New Roman" w:cs="Times New Roman"/>
                <w:sz w:val="24"/>
                <w:szCs w:val="24"/>
              </w:rPr>
              <w:fldChar w:fldCharType="end"/>
            </w:r>
            <w:bookmarkEnd w:id="6"/>
          </w:p>
        </w:tc>
      </w:tr>
      <w:tr w:rsidR="004329AE" w:rsidRPr="008252D7" w:rsidTr="00742657">
        <w:tc>
          <w:tcPr>
            <w:tcW w:w="490" w:type="dxa"/>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9717" w:type="dxa"/>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5211" w:type="dxa"/>
          </w:tcPr>
          <w:p w:rsidR="004329AE" w:rsidRPr="00472CAA" w:rsidRDefault="00F73B84" w:rsidP="00742657">
            <w:pPr>
              <w:ind w:right="-1"/>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7"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7"/>
          </w:p>
        </w:tc>
      </w:tr>
      <w:tr w:rsidR="004329AE" w:rsidRPr="008252D7" w:rsidTr="00742657">
        <w:tc>
          <w:tcPr>
            <w:tcW w:w="490" w:type="dxa"/>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9717" w:type="dxa"/>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5211" w:type="dxa"/>
          </w:tcPr>
          <w:p w:rsidR="004329AE" w:rsidRPr="00472CAA"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8"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31.08.2020</w:t>
            </w:r>
            <w:r w:rsidRPr="00317DBA">
              <w:rPr>
                <w:rFonts w:ascii="Times New Roman" w:hAnsi="Times New Roman" w:cs="Times New Roman"/>
                <w:sz w:val="24"/>
                <w:szCs w:val="24"/>
              </w:rPr>
              <w:fldChar w:fldCharType="end"/>
            </w:r>
            <w:bookmarkEnd w:id="8"/>
          </w:p>
        </w:tc>
      </w:tr>
      <w:tr w:rsidR="004329AE" w:rsidRPr="008252D7" w:rsidTr="00742657">
        <w:tc>
          <w:tcPr>
            <w:tcW w:w="490" w:type="dxa"/>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14928" w:type="dxa"/>
            <w:gridSpan w:val="2"/>
          </w:tcPr>
          <w:p w:rsidR="004329AE" w:rsidRPr="00472CAA" w:rsidRDefault="004329AE" w:rsidP="00742657">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742657">
        <w:tc>
          <w:tcPr>
            <w:tcW w:w="490" w:type="dxa"/>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9717" w:type="dxa"/>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5211" w:type="dxa"/>
          </w:tcPr>
          <w:p w:rsidR="00162746"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9"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подписания Контракта</w:t>
            </w:r>
            <w:r w:rsidRPr="00317DBA">
              <w:rPr>
                <w:rFonts w:ascii="Times New Roman" w:hAnsi="Times New Roman" w:cs="Times New Roman"/>
                <w:sz w:val="24"/>
                <w:szCs w:val="24"/>
              </w:rPr>
              <w:fldChar w:fldCharType="end"/>
            </w:r>
            <w:bookmarkEnd w:id="9"/>
          </w:p>
        </w:tc>
      </w:tr>
      <w:tr w:rsidR="00EE6B83" w:rsidRPr="008252D7" w:rsidTr="00742657">
        <w:tc>
          <w:tcPr>
            <w:tcW w:w="490" w:type="dxa"/>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9717" w:type="dxa"/>
          </w:tcPr>
          <w:p w:rsidR="00EE6B83"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p>
        </w:tc>
        <w:tc>
          <w:tcPr>
            <w:tcW w:w="5211" w:type="dxa"/>
          </w:tcPr>
          <w:p w:rsidR="00EE6B83"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0"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31.07.2020</w:t>
            </w:r>
            <w:r w:rsidRPr="00317DBA">
              <w:rPr>
                <w:rFonts w:ascii="Times New Roman" w:hAnsi="Times New Roman" w:cs="Times New Roman"/>
                <w:sz w:val="24"/>
                <w:szCs w:val="24"/>
              </w:rPr>
              <w:fldChar w:fldCharType="end"/>
            </w:r>
            <w:bookmarkEnd w:id="10"/>
          </w:p>
        </w:tc>
      </w:tr>
      <w:tr w:rsidR="004329AE" w:rsidRPr="008252D7" w:rsidTr="00742657">
        <w:tc>
          <w:tcPr>
            <w:tcW w:w="490" w:type="dxa"/>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9717" w:type="dxa"/>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5211" w:type="dxa"/>
          </w:tcPr>
          <w:p w:rsidR="004329AE" w:rsidRPr="00472CAA" w:rsidRDefault="001347C5"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1"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В течение 10 (десяти) рабочих дней после поступления письменной заявки от Покупателя. Последняя дата подачи заявки на поставку 17.07.2020. Максимальное количество партий 10 (десять).</w:t>
            </w:r>
            <w:r w:rsidRPr="001347C5">
              <w:rPr>
                <w:rFonts w:ascii="Times New Roman" w:hAnsi="Times New Roman" w:cs="Times New Roman"/>
                <w:sz w:val="24"/>
                <w:szCs w:val="24"/>
              </w:rPr>
              <w:fldChar w:fldCharType="end"/>
            </w:r>
            <w:bookmarkEnd w:id="11"/>
          </w:p>
        </w:tc>
      </w:tr>
      <w:tr w:rsidR="00EE6B83" w:rsidRPr="008252D7" w:rsidTr="00742657">
        <w:tc>
          <w:tcPr>
            <w:tcW w:w="490" w:type="dxa"/>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9717" w:type="dxa"/>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5211" w:type="dxa"/>
          </w:tcPr>
          <w:p w:rsidR="00EE6B83"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2"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В течение 30 (тридцати) календарных дней с момента подписания Покупателем универсального передаточного документа (УПД).
                <w:cr/>
                При осуществлении закупки с ограничением участия только для субъектов малого предпринимательства (СМП) - в течение 15 (пятнадцати) рабочих дней.
              </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2"/>
          </w:p>
        </w:tc>
      </w:tr>
      <w:tr w:rsidR="00EE6B83" w:rsidRPr="008252D7" w:rsidTr="00742657">
        <w:tc>
          <w:tcPr>
            <w:tcW w:w="490" w:type="dxa"/>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9717" w:type="dxa"/>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5211" w:type="dxa"/>
          </w:tcPr>
          <w:p w:rsidR="00EE6B83"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3"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Регистрационные удостоверения на медицинские изделия.</w:t>
            </w:r>
            <w:r w:rsidRPr="001347C5">
              <w:rPr>
                <w:rFonts w:ascii="Times New Roman" w:hAnsi="Times New Roman" w:cs="Times New Roman"/>
                <w:sz w:val="24"/>
                <w:szCs w:val="24"/>
              </w:rPr>
              <w:fldChar w:fldCharType="end"/>
            </w:r>
            <w:bookmarkEnd w:id="13"/>
          </w:p>
        </w:tc>
      </w:tr>
      <w:tr w:rsidR="00EE6B83" w:rsidRPr="008252D7" w:rsidTr="00742657">
        <w:tc>
          <w:tcPr>
            <w:tcW w:w="490" w:type="dxa"/>
          </w:tcPr>
          <w:p w:rsidR="00EE6B83" w:rsidRPr="008252D7" w:rsidRDefault="00162746" w:rsidP="006D3E20">
            <w:pPr>
              <w:ind w:right="-1"/>
              <w:rPr>
                <w:rFonts w:ascii="Times New Roman" w:hAnsi="Times New Roman" w:cs="Times New Roman"/>
              </w:rPr>
            </w:pPr>
            <w:r>
              <w:rPr>
                <w:rFonts w:ascii="Times New Roman" w:hAnsi="Times New Roman" w:cs="Times New Roman"/>
              </w:rPr>
              <w:t>10.</w:t>
            </w:r>
          </w:p>
        </w:tc>
        <w:tc>
          <w:tcPr>
            <w:tcW w:w="9717" w:type="dxa"/>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5211" w:type="dxa"/>
          </w:tcPr>
          <w:p w:rsidR="00EE6B83"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4"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4"/>
          </w:p>
        </w:tc>
      </w:tr>
      <w:tr w:rsidR="000F0075" w:rsidRPr="008252D7" w:rsidTr="00742657">
        <w:tc>
          <w:tcPr>
            <w:tcW w:w="490" w:type="dxa"/>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5211" w:type="dxa"/>
          </w:tcPr>
          <w:p w:rsidR="000F0075" w:rsidRPr="00402525"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5"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5"/>
          </w:p>
        </w:tc>
      </w:tr>
      <w:tr w:rsidR="000F0075" w:rsidRPr="008252D7" w:rsidTr="00742657">
        <w:tc>
          <w:tcPr>
            <w:tcW w:w="490" w:type="dxa"/>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5211" w:type="dxa"/>
          </w:tcPr>
          <w:p w:rsidR="000F0075"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6"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Остаточный срок годности на момент поставки не менее 70 %</w:t>
            </w:r>
            <w:r w:rsidRPr="00317DBA">
              <w:rPr>
                <w:rFonts w:ascii="Times New Roman" w:hAnsi="Times New Roman" w:cs="Times New Roman"/>
                <w:sz w:val="24"/>
                <w:szCs w:val="24"/>
              </w:rPr>
              <w:fldChar w:fldCharType="end"/>
            </w:r>
            <w:bookmarkEnd w:id="16"/>
          </w:p>
        </w:tc>
      </w:tr>
      <w:tr w:rsidR="000F0075" w:rsidRPr="008252D7" w:rsidTr="00742657">
        <w:tc>
          <w:tcPr>
            <w:tcW w:w="490" w:type="dxa"/>
          </w:tcPr>
          <w:p w:rsidR="000F0075" w:rsidRPr="006474B5" w:rsidRDefault="000F0075" w:rsidP="006D3E20">
            <w:pPr>
              <w:ind w:right="-1"/>
              <w:rPr>
                <w:rFonts w:ascii="Times New Roman" w:hAnsi="Times New Roman" w:cs="Times New Roman"/>
              </w:rPr>
            </w:pPr>
            <w:r>
              <w:rPr>
                <w:rFonts w:ascii="Times New Roman" w:hAnsi="Times New Roman" w:cs="Times New Roman"/>
              </w:rPr>
              <w:lastRenderedPageBreak/>
              <w:t>13.</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5211" w:type="dxa"/>
          </w:tcPr>
          <w:p w:rsidR="000F0075" w:rsidRPr="00E76E96" w:rsidRDefault="00E76E96" w:rsidP="00742657">
            <w:pPr>
              <w:ind w:right="-1"/>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7"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нет</w:t>
            </w:r>
            <w:r w:rsidRPr="00E76E96">
              <w:rPr>
                <w:rFonts w:ascii="Times New Roman" w:hAnsi="Times New Roman" w:cs="Times New Roman"/>
                <w:sz w:val="24"/>
                <w:szCs w:val="24"/>
              </w:rPr>
              <w:fldChar w:fldCharType="end"/>
            </w:r>
            <w:bookmarkEnd w:id="17"/>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9717" w:type="dxa"/>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5211" w:type="dxa"/>
          </w:tcPr>
          <w:p w:rsidR="000F0075" w:rsidRPr="00402525"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8"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Постановление Правительства РФ от 15.04.2014 N 341 </w:t>
            </w:r>
            <w:r w:rsidRPr="00317DBA">
              <w:rPr>
                <w:rFonts w:ascii="Times New Roman" w:hAnsi="Times New Roman" w:cs="Times New Roman"/>
                <w:sz w:val="24"/>
                <w:szCs w:val="24"/>
              </w:rPr>
              <w:fldChar w:fldCharType="end"/>
            </w:r>
            <w:bookmarkEnd w:id="18"/>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9717" w:type="dxa"/>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5211" w:type="dxa"/>
          </w:tcPr>
          <w:p w:rsidR="000F0075" w:rsidRPr="00472CAA"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19"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Постановление Правительства РФ от 11.08.2014 N 791</w:t>
            </w:r>
            <w:r w:rsidRPr="001347C5">
              <w:rPr>
                <w:rFonts w:ascii="Times New Roman" w:hAnsi="Times New Roman" w:cs="Times New Roman"/>
                <w:sz w:val="24"/>
                <w:szCs w:val="24"/>
              </w:rPr>
              <w:fldChar w:fldCharType="end"/>
            </w:r>
            <w:bookmarkEnd w:id="19"/>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9717" w:type="dxa"/>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211" w:type="dxa"/>
          </w:tcPr>
          <w:p w:rsidR="000F0075" w:rsidRPr="00472CAA" w:rsidRDefault="00317DBA" w:rsidP="00742657">
            <w:pPr>
              <w:ind w:right="-1"/>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0"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20"/>
          </w:p>
        </w:tc>
      </w:tr>
      <w:tr w:rsidR="000F0075" w:rsidRPr="008252D7" w:rsidTr="00742657">
        <w:tc>
          <w:tcPr>
            <w:tcW w:w="490" w:type="dxa"/>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9717" w:type="dxa"/>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5211" w:type="dxa"/>
          </w:tcPr>
          <w:p w:rsidR="000F0075" w:rsidRPr="00472CAA" w:rsidRDefault="00733DFE" w:rsidP="00742657">
            <w:pPr>
              <w:ind w:right="-1"/>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1"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1"/>
          </w:p>
        </w:tc>
      </w:tr>
    </w:tbl>
    <w:p w:rsidR="001B53BC" w:rsidRDefault="001B53BC" w:rsidP="00E961F8">
      <w:pPr>
        <w:ind w:left="-426" w:right="-1" w:firstLine="568"/>
        <w:jc w:val="center"/>
        <w:rPr>
          <w:rFonts w:ascii="Times New Roman" w:hAnsi="Times New Roman" w:cs="Times New Roman"/>
          <w:b/>
          <w:sz w:val="28"/>
          <w:szCs w:val="28"/>
        </w:rPr>
        <w:sectPr w:rsidR="001B53BC"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0820E3" w:rsidP="000437D6">
      <w:pPr>
        <w:pStyle w:val="a7"/>
        <w:widowControl w:val="0"/>
        <w:numPr>
          <w:ilvl w:val="0"/>
          <w:numId w:val="19"/>
        </w:numPr>
        <w:spacing w:after="0"/>
        <w:jc w:val="center"/>
        <w:rPr>
          <w:rFonts w:ascii="Times New Roman" w:eastAsia="Courier New" w:hAnsi="Times New Roman" w:cs="Times New Roman"/>
          <w:b/>
        </w:rPr>
      </w:pPr>
      <w:r w:rsidRPr="000437D6">
        <w:rPr>
          <w:rFonts w:ascii="Times New Roman" w:hAnsi="Times New Roman"/>
          <w:b/>
          <w:sz w:val="24"/>
          <w:szCs w:val="26"/>
        </w:rPr>
        <w:t>Описание</w:t>
      </w:r>
      <w:r w:rsidRPr="000437D6">
        <w:rPr>
          <w:rFonts w:ascii="Times New Roman" w:hAnsi="Times New Roman"/>
          <w:sz w:val="24"/>
          <w:szCs w:val="26"/>
        </w:rPr>
        <w:t xml:space="preserve"> </w:t>
      </w:r>
      <w:r w:rsidRPr="000437D6">
        <w:rPr>
          <w:rFonts w:ascii="Times New Roman" w:hAnsi="Times New Roman"/>
          <w:b/>
          <w:sz w:val="24"/>
          <w:szCs w:val="26"/>
        </w:rPr>
        <w:t>объекта закупки</w:t>
      </w:r>
      <w:r w:rsidRPr="000437D6">
        <w:rPr>
          <w:rFonts w:ascii="Times New Roman" w:eastAsia="Courier New" w:hAnsi="Times New Roman" w:cs="Times New Roman"/>
          <w:b/>
        </w:rPr>
        <w:t xml:space="preserve"> </w:t>
      </w:r>
    </w:p>
    <w:tbl>
      <w:tblPr>
        <w:tblW w:w="5000" w:type="pct"/>
        <w:jc w:val="center"/>
        <w:tblLook w:val="04A0" w:firstRow="1" w:lastRow="0" w:firstColumn="1" w:lastColumn="0" w:noHBand="0" w:noVBand="1"/>
      </w:tblPr>
      <w:tblGrid>
        <w:gridCol w:w="417"/>
        <w:gridCol w:w="2857"/>
        <w:gridCol w:w="4868"/>
        <w:gridCol w:w="1333"/>
        <w:gridCol w:w="903"/>
        <w:gridCol w:w="826"/>
        <w:gridCol w:w="1443"/>
        <w:gridCol w:w="904"/>
        <w:gridCol w:w="1199"/>
        <w:gridCol w:w="1199"/>
      </w:tblGrid>
      <w:tr w:rsidR="00C615CE" w:rsidRPr="00C615CE" w:rsidTr="008B2A45">
        <w:trPr>
          <w:trHeight w:val="20"/>
          <w:jc w:val="center"/>
        </w:trPr>
        <w:tc>
          <w:tcPr>
            <w:tcW w:w="131" w:type="pct"/>
            <w:tcBorders>
              <w:top w:val="single" w:sz="4" w:space="0" w:color="000000"/>
              <w:left w:val="single" w:sz="4" w:space="0" w:color="auto"/>
              <w:bottom w:val="single" w:sz="4" w:space="0" w:color="auto"/>
              <w:right w:val="single" w:sz="4" w:space="0" w:color="auto"/>
            </w:tcBorders>
            <w:noWrap/>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w:t>
            </w:r>
          </w:p>
        </w:tc>
        <w:tc>
          <w:tcPr>
            <w:tcW w:w="896" w:type="pct"/>
            <w:tcBorders>
              <w:top w:val="single" w:sz="4" w:space="0" w:color="000000"/>
              <w:left w:val="nil"/>
              <w:bottom w:val="single" w:sz="4" w:space="0" w:color="auto"/>
              <w:right w:val="single" w:sz="4" w:space="0" w:color="auto"/>
            </w:tcBorders>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Наименование Товара</w:t>
            </w:r>
          </w:p>
        </w:tc>
        <w:tc>
          <w:tcPr>
            <w:tcW w:w="1526" w:type="pct"/>
            <w:tcBorders>
              <w:top w:val="single" w:sz="4" w:space="0" w:color="000000"/>
              <w:left w:val="nil"/>
              <w:bottom w:val="single" w:sz="4" w:space="0" w:color="auto"/>
              <w:right w:val="single" w:sz="4" w:space="0" w:color="auto"/>
            </w:tcBorders>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Технические характеристики</w:t>
            </w:r>
          </w:p>
        </w:tc>
        <w:tc>
          <w:tcPr>
            <w:tcW w:w="418" w:type="pct"/>
            <w:tcBorders>
              <w:top w:val="single" w:sz="4" w:space="0" w:color="auto"/>
              <w:left w:val="nil"/>
              <w:bottom w:val="single" w:sz="4" w:space="0" w:color="auto"/>
              <w:right w:val="single" w:sz="4" w:space="0" w:color="auto"/>
            </w:tcBorders>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Код ОКПД 2</w:t>
            </w:r>
            <w:r w:rsidR="006064FE">
              <w:rPr>
                <w:rFonts w:ascii="Times New Roman" w:eastAsia="Times New Roman" w:hAnsi="Times New Roman" w:cs="Times New Roman"/>
                <w:b/>
                <w:sz w:val="20"/>
                <w:szCs w:val="20"/>
                <w:lang w:eastAsia="ru-RU"/>
              </w:rPr>
              <w:t>/ КТРУ</w:t>
            </w:r>
          </w:p>
        </w:tc>
        <w:tc>
          <w:tcPr>
            <w:tcW w:w="283" w:type="pct"/>
            <w:tcBorders>
              <w:top w:val="single" w:sz="4" w:space="0" w:color="000000"/>
              <w:left w:val="nil"/>
              <w:bottom w:val="single" w:sz="4" w:space="0" w:color="auto"/>
              <w:right w:val="single" w:sz="4" w:space="0" w:color="auto"/>
            </w:tcBorders>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Ед. изм.</w:t>
            </w:r>
          </w:p>
        </w:tc>
        <w:tc>
          <w:tcPr>
            <w:tcW w:w="259" w:type="pct"/>
            <w:tcBorders>
              <w:top w:val="single" w:sz="4" w:space="0" w:color="000000"/>
              <w:left w:val="nil"/>
              <w:bottom w:val="single" w:sz="4" w:space="0" w:color="auto"/>
              <w:right w:val="single" w:sz="4" w:space="0" w:color="auto"/>
            </w:tcBorders>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 xml:space="preserve">Кол-во </w:t>
            </w:r>
          </w:p>
        </w:tc>
        <w:tc>
          <w:tcPr>
            <w:tcW w:w="452" w:type="pct"/>
            <w:tcBorders>
              <w:top w:val="single" w:sz="4" w:space="0" w:color="000000"/>
              <w:left w:val="nil"/>
              <w:bottom w:val="single" w:sz="4" w:space="0" w:color="auto"/>
              <w:right w:val="single" w:sz="4" w:space="0" w:color="auto"/>
            </w:tcBorders>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Страна производства</w:t>
            </w:r>
          </w:p>
        </w:tc>
        <w:tc>
          <w:tcPr>
            <w:tcW w:w="283" w:type="pct"/>
            <w:tcBorders>
              <w:top w:val="single" w:sz="4" w:space="0" w:color="auto"/>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НДС %</w:t>
            </w:r>
          </w:p>
        </w:tc>
        <w:tc>
          <w:tcPr>
            <w:tcW w:w="376" w:type="pct"/>
            <w:tcBorders>
              <w:top w:val="single" w:sz="4" w:space="0" w:color="auto"/>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 xml:space="preserve">Цена за ед. </w:t>
            </w:r>
          </w:p>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 xml:space="preserve">Товара с </w:t>
            </w:r>
          </w:p>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lang w:eastAsia="ru-RU"/>
              </w:rPr>
              <w:t>НДС (руб.)</w:t>
            </w:r>
          </w:p>
        </w:tc>
        <w:tc>
          <w:tcPr>
            <w:tcW w:w="376" w:type="pct"/>
            <w:tcBorders>
              <w:top w:val="single" w:sz="4" w:space="0" w:color="auto"/>
              <w:left w:val="nil"/>
              <w:bottom w:val="single" w:sz="4" w:space="0" w:color="auto"/>
              <w:right w:val="single" w:sz="4" w:space="0" w:color="auto"/>
            </w:tcBorders>
            <w:shd w:val="clear" w:color="000000" w:fill="FFFF00"/>
            <w:noWrap/>
            <w:vAlign w:val="bottom"/>
            <w:hideMark/>
          </w:tcPr>
          <w:p w:rsidR="00C615CE" w:rsidRPr="00C615CE" w:rsidRDefault="00C615CE" w:rsidP="00C615CE">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C615CE">
              <w:rPr>
                <w:rFonts w:ascii="Times New Roman" w:eastAsia="Times New Roman" w:hAnsi="Times New Roman" w:cs="Times New Roman"/>
                <w:b/>
                <w:sz w:val="20"/>
                <w:szCs w:val="20"/>
                <w:lang w:eastAsia="ru-RU"/>
              </w:rPr>
              <w:t> </w:t>
            </w:r>
            <w:r w:rsidRPr="00C615CE">
              <w:rPr>
                <w:rFonts w:ascii="Times New Roman" w:eastAsia="Times New Roman" w:hAnsi="Times New Roman" w:cs="Times New Roman"/>
                <w:b/>
                <w:sz w:val="20"/>
                <w:szCs w:val="20"/>
              </w:rPr>
              <w:t xml:space="preserve">Сумма с </w:t>
            </w:r>
          </w:p>
          <w:p w:rsidR="00C615CE" w:rsidRPr="00C615CE" w:rsidRDefault="00C615CE" w:rsidP="00C615CE">
            <w:pPr>
              <w:spacing w:after="0" w:line="240" w:lineRule="auto"/>
              <w:jc w:val="both"/>
              <w:rPr>
                <w:rFonts w:ascii="Times New Roman" w:eastAsia="Times New Roman" w:hAnsi="Times New Roman" w:cs="Times New Roman"/>
                <w:b/>
                <w:sz w:val="20"/>
                <w:szCs w:val="20"/>
                <w:lang w:eastAsia="ru-RU"/>
              </w:rPr>
            </w:pPr>
            <w:r w:rsidRPr="00C615CE">
              <w:rPr>
                <w:rFonts w:ascii="Times New Roman" w:eastAsia="Times New Roman" w:hAnsi="Times New Roman" w:cs="Times New Roman"/>
                <w:b/>
                <w:sz w:val="20"/>
                <w:szCs w:val="20"/>
              </w:rPr>
              <w:t>НДС (руб.)</w:t>
            </w:r>
          </w:p>
        </w:tc>
      </w:tr>
      <w:tr w:rsidR="00C615CE" w:rsidRPr="00C615CE" w:rsidTr="008B2A45">
        <w:trPr>
          <w:trHeight w:val="20"/>
          <w:jc w:val="center"/>
        </w:trPr>
        <w:tc>
          <w:tcPr>
            <w:tcW w:w="131" w:type="pct"/>
            <w:tcBorders>
              <w:top w:val="single" w:sz="4" w:space="0" w:color="auto"/>
              <w:left w:val="single" w:sz="4" w:space="0" w:color="auto"/>
              <w:bottom w:val="single" w:sz="4" w:space="0" w:color="auto"/>
              <w:right w:val="single" w:sz="4" w:space="0" w:color="auto"/>
            </w:tcBorders>
            <w:noWrap/>
            <w:hideMark/>
          </w:tcPr>
          <w:p w:rsidR="00C615CE" w:rsidRPr="00C615CE" w:rsidRDefault="00C615CE" w:rsidP="00C615CE">
            <w:pPr>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1</w:t>
            </w:r>
          </w:p>
        </w:tc>
        <w:tc>
          <w:tcPr>
            <w:tcW w:w="896" w:type="pct"/>
            <w:tcBorders>
              <w:top w:val="single" w:sz="4" w:space="0" w:color="auto"/>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b/>
                <w:bCs/>
                <w:sz w:val="20"/>
                <w:szCs w:val="20"/>
              </w:rPr>
            </w:pPr>
            <w:r w:rsidRPr="00C615CE">
              <w:rPr>
                <w:rFonts w:ascii="Times New Roman" w:eastAsia="Times New Roman" w:hAnsi="Times New Roman" w:cs="Times New Roman"/>
                <w:b/>
                <w:bCs/>
                <w:sz w:val="20"/>
                <w:szCs w:val="20"/>
              </w:rPr>
              <w:t>Заменяемые крышки</w:t>
            </w:r>
          </w:p>
        </w:tc>
        <w:tc>
          <w:tcPr>
            <w:tcW w:w="1526" w:type="pct"/>
            <w:tcBorders>
              <w:top w:val="single" w:sz="4" w:space="0" w:color="auto"/>
              <w:left w:val="nil"/>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color w:val="000000"/>
                <w:sz w:val="20"/>
                <w:szCs w:val="20"/>
              </w:rPr>
            </w:pPr>
            <w:r w:rsidRPr="00C615CE">
              <w:rPr>
                <w:rFonts w:ascii="Times New Roman" w:eastAsia="Times New Roman" w:hAnsi="Times New Roman" w:cs="Times New Roman"/>
                <w:color w:val="000000"/>
                <w:sz w:val="20"/>
                <w:szCs w:val="20"/>
              </w:rPr>
              <w:t>Крышки для реагентных флаконов должны быть предназначены для предотвращения розлива реагента. Материал должен быть пластик. Упаковка должна быть не менее 100 шт. Совместимость с иммунохимическим автоматическим анализатором ARCHITECT i1000, имеющимся у Заказчика.</w:t>
            </w:r>
          </w:p>
        </w:tc>
        <w:tc>
          <w:tcPr>
            <w:tcW w:w="418" w:type="pct"/>
            <w:tcBorders>
              <w:top w:val="single" w:sz="4" w:space="0" w:color="auto"/>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22.29.29.190</w:t>
            </w:r>
          </w:p>
        </w:tc>
        <w:tc>
          <w:tcPr>
            <w:tcW w:w="283" w:type="pct"/>
            <w:tcBorders>
              <w:top w:val="single" w:sz="4" w:space="0" w:color="auto"/>
              <w:left w:val="single" w:sz="4" w:space="0" w:color="auto"/>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упак</w:t>
            </w:r>
          </w:p>
        </w:tc>
        <w:tc>
          <w:tcPr>
            <w:tcW w:w="259" w:type="pct"/>
            <w:tcBorders>
              <w:top w:val="single" w:sz="4" w:space="0" w:color="auto"/>
              <w:left w:val="nil"/>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1</w:t>
            </w:r>
          </w:p>
        </w:tc>
        <w:tc>
          <w:tcPr>
            <w:tcW w:w="452" w:type="pct"/>
            <w:tcBorders>
              <w:top w:val="single" w:sz="4" w:space="0" w:color="000000"/>
              <w:left w:val="nil"/>
              <w:bottom w:val="single" w:sz="4" w:space="0" w:color="000000"/>
              <w:right w:val="single" w:sz="4" w:space="0" w:color="000000"/>
            </w:tcBorders>
            <w:noWrap/>
            <w:vAlign w:val="bottom"/>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p>
        </w:tc>
        <w:tc>
          <w:tcPr>
            <w:tcW w:w="283" w:type="pct"/>
            <w:tcBorders>
              <w:top w:val="nil"/>
              <w:left w:val="single" w:sz="4" w:space="0" w:color="auto"/>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r>
      <w:tr w:rsidR="00C615CE" w:rsidRPr="00C615CE" w:rsidTr="008B2A45">
        <w:trPr>
          <w:trHeight w:val="20"/>
          <w:jc w:val="center"/>
        </w:trPr>
        <w:tc>
          <w:tcPr>
            <w:tcW w:w="131" w:type="pct"/>
            <w:tcBorders>
              <w:top w:val="nil"/>
              <w:left w:val="single" w:sz="4" w:space="0" w:color="auto"/>
              <w:bottom w:val="single" w:sz="4" w:space="0" w:color="auto"/>
              <w:right w:val="single" w:sz="4" w:space="0" w:color="auto"/>
            </w:tcBorders>
            <w:noWrap/>
            <w:hideMark/>
          </w:tcPr>
          <w:p w:rsidR="00C615CE" w:rsidRPr="00C615CE" w:rsidRDefault="00C615CE" w:rsidP="00C615CE">
            <w:pPr>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w:t>
            </w:r>
          </w:p>
        </w:tc>
        <w:tc>
          <w:tcPr>
            <w:tcW w:w="896" w:type="pct"/>
            <w:tcBorders>
              <w:top w:val="nil"/>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b/>
                <w:bCs/>
                <w:sz w:val="20"/>
                <w:szCs w:val="20"/>
              </w:rPr>
            </w:pPr>
            <w:r w:rsidRPr="00C615CE">
              <w:rPr>
                <w:rFonts w:ascii="Times New Roman" w:eastAsia="Times New Roman" w:hAnsi="Times New Roman" w:cs="Times New Roman"/>
                <w:b/>
                <w:bCs/>
                <w:sz w:val="20"/>
                <w:szCs w:val="20"/>
              </w:rPr>
              <w:t xml:space="preserve">Насадки для переноса суспензии для обычных панелей </w:t>
            </w:r>
          </w:p>
        </w:tc>
        <w:tc>
          <w:tcPr>
            <w:tcW w:w="1526" w:type="pct"/>
            <w:tcBorders>
              <w:top w:val="nil"/>
              <w:left w:val="nil"/>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color w:val="000000"/>
                <w:sz w:val="20"/>
                <w:szCs w:val="20"/>
              </w:rPr>
            </w:pPr>
            <w:r w:rsidRPr="00C615CE">
              <w:rPr>
                <w:rFonts w:ascii="Times New Roman" w:eastAsia="Times New Roman" w:hAnsi="Times New Roman" w:cs="Times New Roman"/>
                <w:color w:val="000000"/>
                <w:sz w:val="20"/>
                <w:szCs w:val="20"/>
              </w:rPr>
              <w:t>Насадки должны быть предназначены для переноса суспензии для обычных панелей. Специальные насадки - пластиковые наконечники для 96-канального инокулятора (пипетки) для переноса суспензий на обычные панели. Материал должен быть пластик. В упаковке должно быть не менее 240 штук.</w:t>
            </w:r>
          </w:p>
        </w:tc>
        <w:tc>
          <w:tcPr>
            <w:tcW w:w="418" w:type="pct"/>
            <w:tcBorders>
              <w:top w:val="nil"/>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22.29.29.190</w:t>
            </w:r>
          </w:p>
        </w:tc>
        <w:tc>
          <w:tcPr>
            <w:tcW w:w="283" w:type="pct"/>
            <w:tcBorders>
              <w:top w:val="nil"/>
              <w:left w:val="single" w:sz="4" w:space="0" w:color="auto"/>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упак</w:t>
            </w:r>
          </w:p>
        </w:tc>
        <w:tc>
          <w:tcPr>
            <w:tcW w:w="259" w:type="pct"/>
            <w:tcBorders>
              <w:top w:val="nil"/>
              <w:left w:val="nil"/>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5</w:t>
            </w:r>
          </w:p>
        </w:tc>
        <w:tc>
          <w:tcPr>
            <w:tcW w:w="452" w:type="pct"/>
            <w:tcBorders>
              <w:top w:val="nil"/>
              <w:left w:val="nil"/>
              <w:bottom w:val="single" w:sz="4" w:space="0" w:color="000000"/>
              <w:right w:val="single" w:sz="4" w:space="0" w:color="000000"/>
            </w:tcBorders>
            <w:noWrap/>
            <w:vAlign w:val="bottom"/>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p>
        </w:tc>
        <w:tc>
          <w:tcPr>
            <w:tcW w:w="283" w:type="pct"/>
            <w:tcBorders>
              <w:top w:val="nil"/>
              <w:left w:val="single" w:sz="4" w:space="0" w:color="auto"/>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r>
      <w:tr w:rsidR="00C615CE" w:rsidRPr="00C615CE" w:rsidTr="008B2A45">
        <w:trPr>
          <w:trHeight w:val="20"/>
          <w:jc w:val="center"/>
        </w:trPr>
        <w:tc>
          <w:tcPr>
            <w:tcW w:w="131" w:type="pct"/>
            <w:tcBorders>
              <w:top w:val="nil"/>
              <w:left w:val="single" w:sz="4" w:space="0" w:color="auto"/>
              <w:bottom w:val="single" w:sz="4" w:space="0" w:color="auto"/>
              <w:right w:val="single" w:sz="4" w:space="0" w:color="auto"/>
            </w:tcBorders>
            <w:noWrap/>
            <w:hideMark/>
          </w:tcPr>
          <w:p w:rsidR="00C615CE" w:rsidRPr="00C615CE" w:rsidRDefault="00C615CE" w:rsidP="00C615CE">
            <w:pPr>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3</w:t>
            </w:r>
          </w:p>
        </w:tc>
        <w:tc>
          <w:tcPr>
            <w:tcW w:w="896" w:type="pct"/>
            <w:tcBorders>
              <w:top w:val="nil"/>
              <w:left w:val="single" w:sz="4" w:space="0" w:color="auto"/>
              <w:bottom w:val="single" w:sz="4" w:space="0" w:color="auto"/>
              <w:right w:val="single" w:sz="4" w:space="0" w:color="auto"/>
            </w:tcBorders>
            <w:hideMark/>
          </w:tcPr>
          <w:p w:rsidR="00C615CE" w:rsidRPr="00C615CE" w:rsidRDefault="00C615CE" w:rsidP="00332D36">
            <w:pPr>
              <w:jc w:val="both"/>
              <w:rPr>
                <w:rFonts w:ascii="Times New Roman" w:eastAsia="Times New Roman" w:hAnsi="Times New Roman" w:cs="Times New Roman"/>
                <w:b/>
                <w:bCs/>
                <w:sz w:val="20"/>
                <w:szCs w:val="20"/>
              </w:rPr>
            </w:pPr>
            <w:r w:rsidRPr="00C615CE">
              <w:rPr>
                <w:rFonts w:ascii="Times New Roman" w:eastAsia="Times New Roman" w:hAnsi="Times New Roman" w:cs="Times New Roman"/>
                <w:b/>
                <w:bCs/>
                <w:sz w:val="20"/>
                <w:szCs w:val="20"/>
              </w:rPr>
              <w:t>Пробирки предварительной обработки транспланта</w:t>
            </w:r>
            <w:r w:rsidR="00332D36">
              <w:rPr>
                <w:rFonts w:ascii="Times New Roman" w:eastAsia="Times New Roman" w:hAnsi="Times New Roman" w:cs="Times New Roman"/>
                <w:b/>
                <w:bCs/>
                <w:sz w:val="20"/>
                <w:szCs w:val="20"/>
              </w:rPr>
              <w:t>та</w:t>
            </w:r>
            <w:r w:rsidRPr="00C615CE">
              <w:rPr>
                <w:rFonts w:ascii="Times New Roman" w:eastAsia="Times New Roman" w:hAnsi="Times New Roman" w:cs="Times New Roman"/>
                <w:b/>
                <w:bCs/>
                <w:sz w:val="20"/>
                <w:szCs w:val="20"/>
              </w:rPr>
              <w:t xml:space="preserve"> </w:t>
            </w:r>
          </w:p>
        </w:tc>
        <w:tc>
          <w:tcPr>
            <w:tcW w:w="1526" w:type="pct"/>
            <w:tcBorders>
              <w:top w:val="nil"/>
              <w:left w:val="nil"/>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color w:val="000000"/>
                <w:sz w:val="20"/>
                <w:szCs w:val="20"/>
              </w:rPr>
            </w:pPr>
            <w:r w:rsidRPr="00C615CE">
              <w:rPr>
                <w:rFonts w:ascii="Times New Roman" w:eastAsia="Times New Roman" w:hAnsi="Times New Roman" w:cs="Times New Roman"/>
                <w:color w:val="000000"/>
                <w:sz w:val="20"/>
                <w:szCs w:val="20"/>
              </w:rPr>
              <w:t>Пробирки должны быть предназначены предварительной обработки транспланта</w:t>
            </w:r>
            <w:r w:rsidR="00332D36">
              <w:rPr>
                <w:rFonts w:ascii="Times New Roman" w:eastAsia="Times New Roman" w:hAnsi="Times New Roman" w:cs="Times New Roman"/>
                <w:color w:val="000000"/>
                <w:sz w:val="20"/>
                <w:szCs w:val="20"/>
              </w:rPr>
              <w:t>та</w:t>
            </w:r>
            <w:r w:rsidRPr="00C615CE">
              <w:rPr>
                <w:rFonts w:ascii="Times New Roman" w:eastAsia="Times New Roman" w:hAnsi="Times New Roman" w:cs="Times New Roman"/>
                <w:color w:val="000000"/>
                <w:sz w:val="20"/>
                <w:szCs w:val="20"/>
              </w:rPr>
              <w:t xml:space="preserve"> для определения in vitro концентрации иммуносупрессантов. Упаковка должна содержать не менее 100 шт.</w:t>
            </w:r>
          </w:p>
        </w:tc>
        <w:tc>
          <w:tcPr>
            <w:tcW w:w="418" w:type="pct"/>
            <w:tcBorders>
              <w:top w:val="nil"/>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22.29.29.190</w:t>
            </w:r>
          </w:p>
        </w:tc>
        <w:tc>
          <w:tcPr>
            <w:tcW w:w="283" w:type="pct"/>
            <w:tcBorders>
              <w:top w:val="nil"/>
              <w:left w:val="single" w:sz="4" w:space="0" w:color="auto"/>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упак</w:t>
            </w:r>
          </w:p>
        </w:tc>
        <w:tc>
          <w:tcPr>
            <w:tcW w:w="259" w:type="pct"/>
            <w:tcBorders>
              <w:top w:val="nil"/>
              <w:left w:val="nil"/>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w:t>
            </w:r>
          </w:p>
        </w:tc>
        <w:tc>
          <w:tcPr>
            <w:tcW w:w="452" w:type="pct"/>
            <w:tcBorders>
              <w:top w:val="nil"/>
              <w:left w:val="nil"/>
              <w:bottom w:val="single" w:sz="4" w:space="0" w:color="000000"/>
              <w:right w:val="single" w:sz="4" w:space="0" w:color="000000"/>
            </w:tcBorders>
            <w:noWrap/>
            <w:vAlign w:val="bottom"/>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p>
        </w:tc>
        <w:tc>
          <w:tcPr>
            <w:tcW w:w="283" w:type="pct"/>
            <w:tcBorders>
              <w:top w:val="nil"/>
              <w:left w:val="single" w:sz="4" w:space="0" w:color="auto"/>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r>
      <w:tr w:rsidR="00C615CE" w:rsidRPr="00C615CE" w:rsidTr="008B2A45">
        <w:trPr>
          <w:trHeight w:val="20"/>
          <w:jc w:val="center"/>
        </w:trPr>
        <w:tc>
          <w:tcPr>
            <w:tcW w:w="131" w:type="pct"/>
            <w:tcBorders>
              <w:top w:val="nil"/>
              <w:left w:val="single" w:sz="4" w:space="0" w:color="auto"/>
              <w:bottom w:val="single" w:sz="4" w:space="0" w:color="auto"/>
              <w:right w:val="single" w:sz="4" w:space="0" w:color="auto"/>
            </w:tcBorders>
            <w:noWrap/>
            <w:hideMark/>
          </w:tcPr>
          <w:p w:rsidR="00C615CE" w:rsidRPr="00C615CE" w:rsidRDefault="00C615CE" w:rsidP="00C615CE">
            <w:pPr>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4</w:t>
            </w:r>
          </w:p>
        </w:tc>
        <w:tc>
          <w:tcPr>
            <w:tcW w:w="896" w:type="pct"/>
            <w:tcBorders>
              <w:top w:val="nil"/>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b/>
                <w:bCs/>
                <w:sz w:val="20"/>
                <w:szCs w:val="20"/>
              </w:rPr>
            </w:pPr>
            <w:r w:rsidRPr="00C615CE">
              <w:rPr>
                <w:rFonts w:ascii="Times New Roman" w:eastAsia="Times New Roman" w:hAnsi="Times New Roman" w:cs="Times New Roman"/>
                <w:b/>
                <w:bCs/>
                <w:sz w:val="20"/>
                <w:szCs w:val="20"/>
              </w:rPr>
              <w:t xml:space="preserve">Чашка Петри  </w:t>
            </w:r>
          </w:p>
        </w:tc>
        <w:tc>
          <w:tcPr>
            <w:tcW w:w="1526" w:type="pct"/>
            <w:tcBorders>
              <w:top w:val="nil"/>
              <w:left w:val="nil"/>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color w:val="000000"/>
                <w:sz w:val="20"/>
                <w:szCs w:val="20"/>
              </w:rPr>
            </w:pPr>
            <w:r w:rsidRPr="00C615CE">
              <w:rPr>
                <w:rFonts w:ascii="Times New Roman" w:eastAsia="Times New Roman" w:hAnsi="Times New Roman" w:cs="Times New Roman"/>
                <w:color w:val="000000"/>
                <w:sz w:val="20"/>
                <w:szCs w:val="20"/>
              </w:rPr>
              <w:t>Стерильное изделие, имеющее форму круглой неглубокой чашки заданных размеров с одной или несколькими секциями, в которую помещают микробиологическую культуру на время инкубации, обработки и анализа. Как правило, изделие изготавливается из пластика и может иметь цветовую маркировку. Это изделие для одноразового использования. Диаметр изделия должен быть 100 мм, что соответствует потребности заказчика в связи с определенным объёмом разлитой среды</w:t>
            </w:r>
          </w:p>
        </w:tc>
        <w:tc>
          <w:tcPr>
            <w:tcW w:w="418" w:type="pct"/>
            <w:tcBorders>
              <w:top w:val="nil"/>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22.29.29.190-00000003</w:t>
            </w:r>
          </w:p>
        </w:tc>
        <w:tc>
          <w:tcPr>
            <w:tcW w:w="283" w:type="pct"/>
            <w:tcBorders>
              <w:top w:val="nil"/>
              <w:left w:val="single" w:sz="4" w:space="0" w:color="auto"/>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шт</w:t>
            </w:r>
          </w:p>
        </w:tc>
        <w:tc>
          <w:tcPr>
            <w:tcW w:w="259" w:type="pct"/>
            <w:tcBorders>
              <w:top w:val="nil"/>
              <w:left w:val="nil"/>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2 000</w:t>
            </w:r>
          </w:p>
        </w:tc>
        <w:tc>
          <w:tcPr>
            <w:tcW w:w="452" w:type="pct"/>
            <w:tcBorders>
              <w:top w:val="nil"/>
              <w:left w:val="nil"/>
              <w:bottom w:val="single" w:sz="4" w:space="0" w:color="000000"/>
              <w:right w:val="single" w:sz="4" w:space="0" w:color="000000"/>
            </w:tcBorders>
            <w:noWrap/>
            <w:vAlign w:val="bottom"/>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p>
        </w:tc>
        <w:tc>
          <w:tcPr>
            <w:tcW w:w="283" w:type="pct"/>
            <w:tcBorders>
              <w:top w:val="nil"/>
              <w:left w:val="single" w:sz="4" w:space="0" w:color="auto"/>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r>
      <w:tr w:rsidR="00C615CE" w:rsidRPr="00C615CE" w:rsidTr="008B2A45">
        <w:trPr>
          <w:trHeight w:val="20"/>
          <w:jc w:val="center"/>
        </w:trPr>
        <w:tc>
          <w:tcPr>
            <w:tcW w:w="131" w:type="pct"/>
            <w:tcBorders>
              <w:top w:val="nil"/>
              <w:left w:val="single" w:sz="4" w:space="0" w:color="auto"/>
              <w:bottom w:val="single" w:sz="4" w:space="0" w:color="auto"/>
              <w:right w:val="single" w:sz="4" w:space="0" w:color="auto"/>
            </w:tcBorders>
            <w:noWrap/>
            <w:hideMark/>
          </w:tcPr>
          <w:p w:rsidR="00C615CE" w:rsidRPr="00C615CE" w:rsidRDefault="00C615CE" w:rsidP="00C615CE">
            <w:pPr>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5</w:t>
            </w:r>
          </w:p>
        </w:tc>
        <w:tc>
          <w:tcPr>
            <w:tcW w:w="896" w:type="pct"/>
            <w:tcBorders>
              <w:top w:val="nil"/>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b/>
                <w:bCs/>
                <w:sz w:val="20"/>
                <w:szCs w:val="20"/>
              </w:rPr>
            </w:pPr>
            <w:r w:rsidRPr="00C615CE">
              <w:rPr>
                <w:rFonts w:ascii="Times New Roman" w:eastAsia="Times New Roman" w:hAnsi="Times New Roman" w:cs="Times New Roman"/>
                <w:b/>
                <w:bCs/>
                <w:sz w:val="20"/>
                <w:szCs w:val="20"/>
              </w:rPr>
              <w:t xml:space="preserve">Чашка Петри  </w:t>
            </w:r>
          </w:p>
        </w:tc>
        <w:tc>
          <w:tcPr>
            <w:tcW w:w="1526" w:type="pct"/>
            <w:tcBorders>
              <w:top w:val="nil"/>
              <w:left w:val="nil"/>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color w:val="000000"/>
                <w:sz w:val="20"/>
                <w:szCs w:val="20"/>
              </w:rPr>
            </w:pPr>
            <w:r w:rsidRPr="00C615CE">
              <w:rPr>
                <w:rFonts w:ascii="Times New Roman" w:eastAsia="Times New Roman" w:hAnsi="Times New Roman" w:cs="Times New Roman"/>
                <w:color w:val="000000"/>
                <w:sz w:val="20"/>
                <w:szCs w:val="20"/>
              </w:rPr>
              <w:t>Изделие, имеющее форму круглой неглубокой чашки заданных размеров, в которую помещают культуру на время инкубации, обработки и анализа. Это изделие, широко известное как чашка Петри, может помещаться внутрь ряда лабораторных приборов и анализаторов, на которых проводятся различные процессы. Изделие, как правило, изготавливается из одноразовых пластиковых материалов и может иметь цветовую маркировку. Это изделие для одноразового использования. Вентиляционные отверстия</w:t>
            </w:r>
            <w:r w:rsidR="00EC4462">
              <w:rPr>
                <w:rFonts w:ascii="Times New Roman" w:eastAsia="Times New Roman" w:hAnsi="Times New Roman" w:cs="Times New Roman"/>
                <w:color w:val="000000"/>
                <w:sz w:val="20"/>
                <w:szCs w:val="20"/>
              </w:rPr>
              <w:t xml:space="preserve"> </w:t>
            </w:r>
            <w:r w:rsidRPr="00C615CE">
              <w:rPr>
                <w:rFonts w:ascii="Times New Roman" w:eastAsia="Times New Roman" w:hAnsi="Times New Roman" w:cs="Times New Roman"/>
                <w:color w:val="000000"/>
                <w:sz w:val="20"/>
                <w:szCs w:val="20"/>
              </w:rPr>
              <w:t>- Нет; Диаметр - ≥ 90  и  ≤ 92 Миллиметр; Разделение на секции - Односекционные; Стерильность - Стерильные; Форма - Круглая.</w:t>
            </w:r>
          </w:p>
        </w:tc>
        <w:tc>
          <w:tcPr>
            <w:tcW w:w="418" w:type="pct"/>
            <w:tcBorders>
              <w:top w:val="nil"/>
              <w:left w:val="single" w:sz="4" w:space="0" w:color="auto"/>
              <w:bottom w:val="single" w:sz="4" w:space="0" w:color="auto"/>
              <w:right w:val="single" w:sz="4" w:space="0" w:color="auto"/>
            </w:tcBorders>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22.29.29.190-00000027</w:t>
            </w:r>
          </w:p>
        </w:tc>
        <w:tc>
          <w:tcPr>
            <w:tcW w:w="283" w:type="pct"/>
            <w:tcBorders>
              <w:top w:val="nil"/>
              <w:left w:val="single" w:sz="4" w:space="0" w:color="auto"/>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шт</w:t>
            </w:r>
          </w:p>
        </w:tc>
        <w:tc>
          <w:tcPr>
            <w:tcW w:w="259" w:type="pct"/>
            <w:tcBorders>
              <w:top w:val="nil"/>
              <w:left w:val="nil"/>
              <w:bottom w:val="single" w:sz="4" w:space="0" w:color="auto"/>
              <w:right w:val="single" w:sz="4" w:space="0" w:color="auto"/>
            </w:tcBorders>
            <w:noWrap/>
            <w:hideMark/>
          </w:tcPr>
          <w:p w:rsidR="00C615CE" w:rsidRPr="00C615CE" w:rsidRDefault="00C615CE" w:rsidP="00C615CE">
            <w:pPr>
              <w:jc w:val="both"/>
              <w:rPr>
                <w:rFonts w:ascii="Times New Roman" w:eastAsia="Times New Roman" w:hAnsi="Times New Roman" w:cs="Times New Roman"/>
                <w:sz w:val="20"/>
                <w:szCs w:val="20"/>
              </w:rPr>
            </w:pPr>
            <w:r w:rsidRPr="00C615CE">
              <w:rPr>
                <w:rFonts w:ascii="Times New Roman" w:eastAsia="Times New Roman" w:hAnsi="Times New Roman" w:cs="Times New Roman"/>
                <w:sz w:val="20"/>
                <w:szCs w:val="20"/>
              </w:rPr>
              <w:t>1 000</w:t>
            </w:r>
          </w:p>
        </w:tc>
        <w:tc>
          <w:tcPr>
            <w:tcW w:w="452" w:type="pct"/>
            <w:tcBorders>
              <w:top w:val="nil"/>
              <w:left w:val="nil"/>
              <w:bottom w:val="single" w:sz="4" w:space="0" w:color="000000"/>
              <w:right w:val="single" w:sz="4" w:space="0" w:color="000000"/>
            </w:tcBorders>
            <w:noWrap/>
            <w:vAlign w:val="bottom"/>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p>
        </w:tc>
        <w:tc>
          <w:tcPr>
            <w:tcW w:w="283" w:type="pct"/>
            <w:tcBorders>
              <w:top w:val="nil"/>
              <w:left w:val="single" w:sz="4" w:space="0" w:color="auto"/>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c>
          <w:tcPr>
            <w:tcW w:w="376" w:type="pct"/>
            <w:tcBorders>
              <w:top w:val="nil"/>
              <w:left w:val="nil"/>
              <w:bottom w:val="single" w:sz="4" w:space="0" w:color="auto"/>
              <w:right w:val="single" w:sz="4" w:space="0" w:color="auto"/>
            </w:tcBorders>
            <w:shd w:val="clear" w:color="000000" w:fill="FFFF00"/>
            <w:noWrap/>
            <w:vAlign w:val="bottom"/>
            <w:hideMark/>
          </w:tcPr>
          <w:p w:rsidR="00C615CE" w:rsidRPr="00C615CE" w:rsidRDefault="00C615CE" w:rsidP="00C615CE">
            <w:pPr>
              <w:spacing w:after="0" w:line="240" w:lineRule="auto"/>
              <w:jc w:val="both"/>
              <w:rPr>
                <w:rFonts w:ascii="Times New Roman" w:eastAsia="Times New Roman" w:hAnsi="Times New Roman" w:cs="Times New Roman"/>
                <w:sz w:val="20"/>
                <w:szCs w:val="20"/>
                <w:lang w:eastAsia="ru-RU"/>
              </w:rPr>
            </w:pPr>
            <w:r w:rsidRPr="00C615CE">
              <w:rPr>
                <w:rFonts w:ascii="Times New Roman" w:eastAsia="Times New Roman" w:hAnsi="Times New Roman" w:cs="Times New Roman"/>
                <w:sz w:val="20"/>
                <w:szCs w:val="20"/>
                <w:lang w:eastAsia="ru-RU"/>
              </w:rPr>
              <w:t> </w:t>
            </w:r>
          </w:p>
        </w:tc>
      </w:tr>
    </w:tbl>
    <w:p w:rsidR="00170252" w:rsidRDefault="00170252" w:rsidP="000820E3">
      <w:pPr>
        <w:rPr>
          <w:rFonts w:ascii="Times New Roman" w:hAnsi="Times New Roman" w:cs="Times New Roman"/>
          <w:b/>
          <w:sz w:val="28"/>
          <w:szCs w:val="28"/>
        </w:rPr>
      </w:pPr>
    </w:p>
    <w:sectPr w:rsidR="00170252" w:rsidSect="00C615CE">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07" w:rsidRDefault="00066607">
      <w:pPr>
        <w:spacing w:after="0" w:line="240" w:lineRule="auto"/>
      </w:pPr>
      <w:r>
        <w:separator/>
      </w:r>
    </w:p>
  </w:endnote>
  <w:endnote w:type="continuationSeparator" w:id="0">
    <w:p w:rsidR="00066607" w:rsidRDefault="00066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FC0A30">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FC0A30">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FC0A30">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FC0A3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FC0A3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C4462">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07" w:rsidRDefault="00066607">
      <w:pPr>
        <w:spacing w:after="0" w:line="240" w:lineRule="auto"/>
      </w:pPr>
      <w:r>
        <w:separator/>
      </w:r>
    </w:p>
  </w:footnote>
  <w:footnote w:type="continuationSeparator" w:id="0">
    <w:p w:rsidR="00066607" w:rsidRDefault="00066607">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66607"/>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2395"/>
    <w:rsid w:val="00185B41"/>
    <w:rsid w:val="0019152C"/>
    <w:rsid w:val="00192794"/>
    <w:rsid w:val="00195CA6"/>
    <w:rsid w:val="001B53BC"/>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A048E"/>
    <w:rsid w:val="002A1986"/>
    <w:rsid w:val="002A657B"/>
    <w:rsid w:val="002B12E3"/>
    <w:rsid w:val="002C2CE3"/>
    <w:rsid w:val="002C473B"/>
    <w:rsid w:val="002D21DE"/>
    <w:rsid w:val="002E6D4A"/>
    <w:rsid w:val="002F1377"/>
    <w:rsid w:val="002F2BED"/>
    <w:rsid w:val="002F5BC1"/>
    <w:rsid w:val="002F6D7C"/>
    <w:rsid w:val="003103C5"/>
    <w:rsid w:val="0031098C"/>
    <w:rsid w:val="00317DBA"/>
    <w:rsid w:val="00322D0D"/>
    <w:rsid w:val="00324FCD"/>
    <w:rsid w:val="00332D36"/>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6250"/>
    <w:rsid w:val="003D4C65"/>
    <w:rsid w:val="003E0EB5"/>
    <w:rsid w:val="003E60F6"/>
    <w:rsid w:val="003F0AA1"/>
    <w:rsid w:val="00402525"/>
    <w:rsid w:val="00406050"/>
    <w:rsid w:val="004115D1"/>
    <w:rsid w:val="0041280E"/>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064FE"/>
    <w:rsid w:val="00623487"/>
    <w:rsid w:val="00632D4D"/>
    <w:rsid w:val="00637F5D"/>
    <w:rsid w:val="006420B2"/>
    <w:rsid w:val="00642D06"/>
    <w:rsid w:val="006474B5"/>
    <w:rsid w:val="00650AB9"/>
    <w:rsid w:val="00671299"/>
    <w:rsid w:val="00680267"/>
    <w:rsid w:val="00680B51"/>
    <w:rsid w:val="00683724"/>
    <w:rsid w:val="00692F2A"/>
    <w:rsid w:val="006B0C1A"/>
    <w:rsid w:val="006B558D"/>
    <w:rsid w:val="006C4866"/>
    <w:rsid w:val="006C6485"/>
    <w:rsid w:val="006C79E4"/>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4C5B"/>
    <w:rsid w:val="008A7058"/>
    <w:rsid w:val="008A77E7"/>
    <w:rsid w:val="008B0A94"/>
    <w:rsid w:val="008B64C5"/>
    <w:rsid w:val="008C7CC3"/>
    <w:rsid w:val="008D36C2"/>
    <w:rsid w:val="008F273B"/>
    <w:rsid w:val="008F3B0B"/>
    <w:rsid w:val="008F4DD1"/>
    <w:rsid w:val="0091306B"/>
    <w:rsid w:val="00924D15"/>
    <w:rsid w:val="00930289"/>
    <w:rsid w:val="00964265"/>
    <w:rsid w:val="00971FDB"/>
    <w:rsid w:val="009765E0"/>
    <w:rsid w:val="009840D8"/>
    <w:rsid w:val="00991266"/>
    <w:rsid w:val="009938B0"/>
    <w:rsid w:val="009A2C92"/>
    <w:rsid w:val="009B40C9"/>
    <w:rsid w:val="009D1527"/>
    <w:rsid w:val="009E0E6A"/>
    <w:rsid w:val="009E14D4"/>
    <w:rsid w:val="009E41C0"/>
    <w:rsid w:val="009F1E95"/>
    <w:rsid w:val="009F28DD"/>
    <w:rsid w:val="009F387B"/>
    <w:rsid w:val="00A00C6D"/>
    <w:rsid w:val="00A072C2"/>
    <w:rsid w:val="00A20761"/>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A2E5F"/>
    <w:rsid w:val="00AB2243"/>
    <w:rsid w:val="00AE1B0F"/>
    <w:rsid w:val="00AF03B1"/>
    <w:rsid w:val="00AF7E0D"/>
    <w:rsid w:val="00B0383F"/>
    <w:rsid w:val="00B12027"/>
    <w:rsid w:val="00B23D79"/>
    <w:rsid w:val="00B24019"/>
    <w:rsid w:val="00B33706"/>
    <w:rsid w:val="00B61169"/>
    <w:rsid w:val="00B664DC"/>
    <w:rsid w:val="00B666D7"/>
    <w:rsid w:val="00B66D35"/>
    <w:rsid w:val="00B67E6D"/>
    <w:rsid w:val="00B77DAE"/>
    <w:rsid w:val="00B8743B"/>
    <w:rsid w:val="00BA5FF8"/>
    <w:rsid w:val="00BC0D28"/>
    <w:rsid w:val="00BE3F70"/>
    <w:rsid w:val="00BE4CB3"/>
    <w:rsid w:val="00BF2771"/>
    <w:rsid w:val="00C1195F"/>
    <w:rsid w:val="00C134B9"/>
    <w:rsid w:val="00C22E6F"/>
    <w:rsid w:val="00C35CC7"/>
    <w:rsid w:val="00C368D3"/>
    <w:rsid w:val="00C505E8"/>
    <w:rsid w:val="00C56C90"/>
    <w:rsid w:val="00C615CE"/>
    <w:rsid w:val="00C645BD"/>
    <w:rsid w:val="00C753E1"/>
    <w:rsid w:val="00C77D9B"/>
    <w:rsid w:val="00C81C82"/>
    <w:rsid w:val="00C9583B"/>
    <w:rsid w:val="00CC4773"/>
    <w:rsid w:val="00CD1DB9"/>
    <w:rsid w:val="00CD1E24"/>
    <w:rsid w:val="00CD3089"/>
    <w:rsid w:val="00CF19F4"/>
    <w:rsid w:val="00CF1A90"/>
    <w:rsid w:val="00D04875"/>
    <w:rsid w:val="00D17764"/>
    <w:rsid w:val="00D3148D"/>
    <w:rsid w:val="00D31887"/>
    <w:rsid w:val="00D3448D"/>
    <w:rsid w:val="00D4075D"/>
    <w:rsid w:val="00D75216"/>
    <w:rsid w:val="00D75A72"/>
    <w:rsid w:val="00D811F2"/>
    <w:rsid w:val="00D93803"/>
    <w:rsid w:val="00D9443F"/>
    <w:rsid w:val="00DB0473"/>
    <w:rsid w:val="00DB54FF"/>
    <w:rsid w:val="00DB5EE8"/>
    <w:rsid w:val="00DD6DFD"/>
    <w:rsid w:val="00DE242D"/>
    <w:rsid w:val="00E02EB4"/>
    <w:rsid w:val="00E06D2F"/>
    <w:rsid w:val="00E23D7F"/>
    <w:rsid w:val="00E271DF"/>
    <w:rsid w:val="00E300DF"/>
    <w:rsid w:val="00E377D1"/>
    <w:rsid w:val="00E70CD9"/>
    <w:rsid w:val="00E768F9"/>
    <w:rsid w:val="00E76E96"/>
    <w:rsid w:val="00E81B61"/>
    <w:rsid w:val="00E961F8"/>
    <w:rsid w:val="00EC4462"/>
    <w:rsid w:val="00ED2F34"/>
    <w:rsid w:val="00EE2E62"/>
    <w:rsid w:val="00EE4AA9"/>
    <w:rsid w:val="00EE6B83"/>
    <w:rsid w:val="00EF093D"/>
    <w:rsid w:val="00F01074"/>
    <w:rsid w:val="00F27547"/>
    <w:rsid w:val="00F2794C"/>
    <w:rsid w:val="00F33B71"/>
    <w:rsid w:val="00F3582B"/>
    <w:rsid w:val="00F374E2"/>
    <w:rsid w:val="00F43A9A"/>
    <w:rsid w:val="00F52E6A"/>
    <w:rsid w:val="00F709FA"/>
    <w:rsid w:val="00F72D5A"/>
    <w:rsid w:val="00F73B84"/>
    <w:rsid w:val="00F84F75"/>
    <w:rsid w:val="00F92171"/>
    <w:rsid w:val="00F93FA3"/>
    <w:rsid w:val="00FB1AB7"/>
    <w:rsid w:val="00FB3393"/>
    <w:rsid w:val="00FC0A30"/>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FA35D-CAAF-4E58-BEED-526C312C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Сергей В. Киричук</cp:lastModifiedBy>
  <cp:revision>2</cp:revision>
  <cp:lastPrinted>2018-01-19T15:25:00Z</cp:lastPrinted>
  <dcterms:created xsi:type="dcterms:W3CDTF">2020-02-18T08:17:00Z</dcterms:created>
  <dcterms:modified xsi:type="dcterms:W3CDTF">2020-02-18T08:17:00Z</dcterms:modified>
</cp:coreProperties>
</file>