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16.10.2026 № 21.1-03/2177</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6752CD">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10.12.2026.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 преимущество инвалидам</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00" w:type="pct"/>
        <w:tblLook w:val="04A0" w:firstRow="1" w:lastRow="0" w:firstColumn="1" w:lastColumn="0" w:noHBand="0" w:noVBand="1"/>
      </w:tblPr>
      <w:tblGrid>
        <w:gridCol w:w="1169"/>
        <w:gridCol w:w="956"/>
        <w:gridCol w:w="1479"/>
        <w:gridCol w:w="1192"/>
        <w:gridCol w:w="1192"/>
        <w:gridCol w:w="1116"/>
        <w:gridCol w:w="1283"/>
        <w:gridCol w:w="852"/>
        <w:gridCol w:w="925"/>
        <w:gridCol w:w="2134"/>
        <w:gridCol w:w="1027"/>
        <w:gridCol w:w="1457"/>
        <w:gridCol w:w="1167"/>
      </w:tblGrid>
      <w:tr w:rsidR="00F95569" w:rsidRPr="00F95569" w:rsidTr="00F95569">
        <w:trPr>
          <w:trHeight w:val="402"/>
        </w:trPr>
        <w:tc>
          <w:tcPr>
            <w:tcW w:w="43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b/>
                <w:bCs/>
                <w:color w:val="000000"/>
                <w:sz w:val="20"/>
                <w:szCs w:val="20"/>
                <w:lang w:eastAsia="ru-RU"/>
              </w:rPr>
            </w:pPr>
            <w:r w:rsidRPr="00F95569">
              <w:rPr>
                <w:rFonts w:ascii="Times New Roman" w:eastAsia="Times New Roman" w:hAnsi="Times New Roman" w:cs="Times New Roman"/>
                <w:b/>
                <w:bCs/>
                <w:color w:val="000000"/>
                <w:sz w:val="20"/>
                <w:szCs w:val="20"/>
                <w:lang w:val="en-US" w:eastAsia="ru-RU"/>
              </w:rPr>
              <w:t>Наименование товара, работы, услуги</w:t>
            </w:r>
          </w:p>
        </w:tc>
        <w:tc>
          <w:tcPr>
            <w:tcW w:w="352"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b/>
                <w:bCs/>
                <w:color w:val="000000"/>
                <w:sz w:val="20"/>
                <w:szCs w:val="20"/>
                <w:lang w:eastAsia="ru-RU"/>
              </w:rPr>
            </w:pPr>
            <w:r w:rsidRPr="00F95569">
              <w:rPr>
                <w:rFonts w:ascii="Times New Roman" w:eastAsia="Times New Roman" w:hAnsi="Times New Roman" w:cs="Times New Roman"/>
                <w:b/>
                <w:bCs/>
                <w:color w:val="000000"/>
                <w:sz w:val="20"/>
                <w:szCs w:val="20"/>
                <w:lang w:val="en-US" w:eastAsia="ru-RU"/>
              </w:rPr>
              <w:t>Код позиции</w:t>
            </w:r>
          </w:p>
        </w:tc>
        <w:tc>
          <w:tcPr>
            <w:tcW w:w="2350" w:type="pct"/>
            <w:gridSpan w:val="5"/>
            <w:tcBorders>
              <w:top w:val="single" w:sz="8" w:space="0" w:color="auto"/>
              <w:left w:val="nil"/>
              <w:bottom w:val="single" w:sz="8" w:space="0" w:color="auto"/>
              <w:right w:val="nil"/>
            </w:tcBorders>
            <w:shd w:val="clear" w:color="auto" w:fill="auto"/>
            <w:vAlign w:val="center"/>
            <w:hideMark/>
          </w:tcPr>
          <w:p w:rsidR="00F95569" w:rsidRPr="00F95569" w:rsidRDefault="00F95569" w:rsidP="00F95569">
            <w:pPr>
              <w:spacing w:after="0" w:line="240" w:lineRule="auto"/>
              <w:jc w:val="center"/>
              <w:rPr>
                <w:rFonts w:ascii="Times New Roman" w:eastAsia="Times New Roman" w:hAnsi="Times New Roman" w:cs="Times New Roman"/>
                <w:b/>
                <w:bCs/>
                <w:color w:val="000000"/>
                <w:sz w:val="20"/>
                <w:szCs w:val="20"/>
                <w:lang w:eastAsia="ru-RU"/>
              </w:rPr>
            </w:pPr>
            <w:r w:rsidRPr="00F95569">
              <w:rPr>
                <w:rFonts w:ascii="Times New Roman" w:eastAsia="Times New Roman" w:hAnsi="Times New Roman" w:cs="Times New Roman"/>
                <w:b/>
                <w:bCs/>
                <w:color w:val="000000"/>
                <w:sz w:val="20"/>
                <w:szCs w:val="20"/>
                <w:lang w:val="en-US" w:eastAsia="ru-RU"/>
              </w:rPr>
              <w:t>Характеристики товара, работы, услуги</w:t>
            </w:r>
          </w:p>
        </w:tc>
        <w:tc>
          <w:tcPr>
            <w:tcW w:w="310" w:type="pct"/>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F95569" w:rsidRPr="00F95569" w:rsidRDefault="00F95569" w:rsidP="00F95569">
            <w:pPr>
              <w:spacing w:after="0" w:line="240" w:lineRule="auto"/>
              <w:jc w:val="center"/>
              <w:rPr>
                <w:rFonts w:ascii="Times New Roman" w:eastAsia="Times New Roman" w:hAnsi="Times New Roman" w:cs="Times New Roman"/>
                <w:b/>
                <w:bCs/>
                <w:color w:val="000000"/>
                <w:sz w:val="20"/>
                <w:szCs w:val="20"/>
                <w:lang w:eastAsia="ru-RU"/>
              </w:rPr>
            </w:pPr>
            <w:r w:rsidRPr="00F95569">
              <w:rPr>
                <w:rFonts w:ascii="Times New Roman" w:eastAsia="Times New Roman" w:hAnsi="Times New Roman" w:cs="Times New Roman"/>
                <w:b/>
                <w:bCs/>
                <w:color w:val="000000"/>
                <w:sz w:val="20"/>
                <w:szCs w:val="20"/>
                <w:lang w:val="en-US" w:eastAsia="ru-RU"/>
              </w:rPr>
              <w:t>Единица измерения</w:t>
            </w:r>
          </w:p>
        </w:tc>
        <w:tc>
          <w:tcPr>
            <w:tcW w:w="33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95569" w:rsidRPr="00F95569" w:rsidRDefault="00F95569" w:rsidP="00F95569">
            <w:pPr>
              <w:spacing w:after="0" w:line="240" w:lineRule="auto"/>
              <w:jc w:val="center"/>
              <w:rPr>
                <w:rFonts w:ascii="Times New Roman" w:eastAsia="Times New Roman" w:hAnsi="Times New Roman" w:cs="Times New Roman"/>
                <w:b/>
                <w:bCs/>
                <w:color w:val="000000"/>
                <w:sz w:val="20"/>
                <w:szCs w:val="20"/>
                <w:lang w:eastAsia="ru-RU"/>
              </w:rPr>
            </w:pPr>
            <w:r w:rsidRPr="00F95569">
              <w:rPr>
                <w:rFonts w:ascii="Times New Roman" w:eastAsia="Times New Roman" w:hAnsi="Times New Roman" w:cs="Times New Roman"/>
                <w:b/>
                <w:bCs/>
                <w:color w:val="000000"/>
                <w:sz w:val="20"/>
                <w:szCs w:val="20"/>
                <w:lang w:val="en-US" w:eastAsia="ru-RU"/>
              </w:rPr>
              <w:t>Количество</w:t>
            </w:r>
          </w:p>
        </w:tc>
        <w:tc>
          <w:tcPr>
            <w:tcW w:w="452"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F95569" w:rsidRPr="00F95569" w:rsidRDefault="00F95569" w:rsidP="00F95569">
            <w:pPr>
              <w:spacing w:after="0" w:line="240" w:lineRule="auto"/>
              <w:jc w:val="center"/>
              <w:rPr>
                <w:rFonts w:ascii="Calibri" w:eastAsia="Times New Roman" w:hAnsi="Calibri" w:cs="Times New Roman"/>
                <w:color w:val="000000"/>
                <w:lang w:eastAsia="ru-RU"/>
              </w:rPr>
            </w:pPr>
            <w:r w:rsidRPr="00F95569">
              <w:rPr>
                <w:rFonts w:ascii="Calibri" w:eastAsia="Times New Roman" w:hAnsi="Calibri" w:cs="Times New Roman"/>
                <w:color w:val="000000"/>
                <w:lang w:eastAsia="ru-RU"/>
              </w:rPr>
              <w:t>Страна происхождения Товара</w:t>
            </w:r>
          </w:p>
        </w:tc>
        <w:tc>
          <w:tcPr>
            <w:tcW w:w="253"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F95569" w:rsidRPr="00F95569" w:rsidRDefault="00F95569" w:rsidP="00F95569">
            <w:pPr>
              <w:spacing w:after="0" w:line="240" w:lineRule="auto"/>
              <w:jc w:val="center"/>
              <w:rPr>
                <w:rFonts w:ascii="Calibri" w:eastAsia="Times New Roman" w:hAnsi="Calibri" w:cs="Times New Roman"/>
                <w:color w:val="000000"/>
                <w:lang w:eastAsia="ru-RU"/>
              </w:rPr>
            </w:pPr>
            <w:r w:rsidRPr="00F95569">
              <w:rPr>
                <w:rFonts w:ascii="Calibri" w:eastAsia="Times New Roman" w:hAnsi="Calibri" w:cs="Times New Roman"/>
                <w:color w:val="000000"/>
                <w:lang w:eastAsia="ru-RU"/>
              </w:rPr>
              <w:t>Ставка НДС%</w:t>
            </w:r>
          </w:p>
        </w:tc>
        <w:tc>
          <w:tcPr>
            <w:tcW w:w="253"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F95569" w:rsidRPr="00F95569" w:rsidRDefault="00F95569" w:rsidP="00F95569">
            <w:pPr>
              <w:spacing w:after="0" w:line="240" w:lineRule="auto"/>
              <w:jc w:val="center"/>
              <w:rPr>
                <w:rFonts w:ascii="Calibri" w:eastAsia="Times New Roman" w:hAnsi="Calibri" w:cs="Times New Roman"/>
                <w:color w:val="000000"/>
                <w:lang w:eastAsia="ru-RU"/>
              </w:rPr>
            </w:pPr>
            <w:r w:rsidRPr="00F95569">
              <w:rPr>
                <w:rFonts w:ascii="Calibri" w:eastAsia="Times New Roman" w:hAnsi="Calibri" w:cs="Times New Roman"/>
                <w:color w:val="000000"/>
                <w:lang w:eastAsia="ru-RU"/>
              </w:rPr>
              <w:t>Цена за ед. без НДС</w:t>
            </w:r>
          </w:p>
        </w:tc>
        <w:tc>
          <w:tcPr>
            <w:tcW w:w="253"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F95569" w:rsidRPr="00F95569" w:rsidRDefault="00F95569" w:rsidP="00F95569">
            <w:pPr>
              <w:spacing w:after="0" w:line="240" w:lineRule="auto"/>
              <w:jc w:val="center"/>
              <w:rPr>
                <w:rFonts w:ascii="Calibri" w:eastAsia="Times New Roman" w:hAnsi="Calibri" w:cs="Times New Roman"/>
                <w:color w:val="000000"/>
                <w:lang w:eastAsia="ru-RU"/>
              </w:rPr>
            </w:pPr>
            <w:r w:rsidRPr="00F95569">
              <w:rPr>
                <w:rFonts w:ascii="Calibri" w:eastAsia="Times New Roman" w:hAnsi="Calibri" w:cs="Times New Roman"/>
                <w:color w:val="000000"/>
                <w:lang w:eastAsia="ru-RU"/>
              </w:rPr>
              <w:t>Сумма без НДС</w:t>
            </w:r>
          </w:p>
        </w:tc>
      </w:tr>
      <w:tr w:rsidR="00F95569" w:rsidRPr="00F95569" w:rsidTr="00F95569">
        <w:trPr>
          <w:trHeight w:val="402"/>
        </w:trPr>
        <w:tc>
          <w:tcPr>
            <w:tcW w:w="437" w:type="pct"/>
            <w:vMerge/>
            <w:tcBorders>
              <w:top w:val="single" w:sz="8" w:space="0" w:color="auto"/>
              <w:left w:val="single" w:sz="8" w:space="0" w:color="auto"/>
              <w:bottom w:val="single" w:sz="8" w:space="0" w:color="000000"/>
              <w:right w:val="single" w:sz="8"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b/>
                <w:bCs/>
                <w:color w:val="000000"/>
                <w:sz w:val="20"/>
                <w:szCs w:val="20"/>
                <w:lang w:eastAsia="ru-RU"/>
              </w:rPr>
            </w:pPr>
          </w:p>
        </w:tc>
        <w:tc>
          <w:tcPr>
            <w:tcW w:w="352" w:type="pct"/>
            <w:vMerge/>
            <w:tcBorders>
              <w:top w:val="single" w:sz="8" w:space="0" w:color="auto"/>
              <w:left w:val="single" w:sz="8" w:space="0" w:color="auto"/>
              <w:bottom w:val="single" w:sz="8" w:space="0" w:color="000000"/>
              <w:right w:val="single" w:sz="8"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b/>
                <w:bCs/>
                <w:color w:val="000000"/>
                <w:sz w:val="20"/>
                <w:szCs w:val="20"/>
                <w:lang w:eastAsia="ru-RU"/>
              </w:rPr>
            </w:pPr>
          </w:p>
        </w:tc>
        <w:tc>
          <w:tcPr>
            <w:tcW w:w="560"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b/>
                <w:bCs/>
                <w:color w:val="000000"/>
                <w:sz w:val="20"/>
                <w:szCs w:val="20"/>
                <w:lang w:eastAsia="ru-RU"/>
              </w:rPr>
            </w:pPr>
            <w:r w:rsidRPr="00F95569">
              <w:rPr>
                <w:rFonts w:ascii="Times New Roman" w:eastAsia="Times New Roman" w:hAnsi="Times New Roman" w:cs="Times New Roman"/>
                <w:b/>
                <w:bCs/>
                <w:color w:val="000000"/>
                <w:sz w:val="20"/>
                <w:szCs w:val="20"/>
                <w:lang w:val="en-US" w:eastAsia="ru-RU"/>
              </w:rPr>
              <w:t>Наименование характеристики</w:t>
            </w:r>
          </w:p>
        </w:tc>
        <w:tc>
          <w:tcPr>
            <w:tcW w:w="446"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b/>
                <w:bCs/>
                <w:color w:val="000000"/>
                <w:sz w:val="20"/>
                <w:szCs w:val="20"/>
                <w:lang w:eastAsia="ru-RU"/>
              </w:rPr>
            </w:pPr>
            <w:r w:rsidRPr="00F95569">
              <w:rPr>
                <w:rFonts w:ascii="Times New Roman" w:eastAsia="Times New Roman" w:hAnsi="Times New Roman" w:cs="Times New Roman"/>
                <w:b/>
                <w:bCs/>
                <w:color w:val="000000"/>
                <w:sz w:val="20"/>
                <w:szCs w:val="20"/>
                <w:lang w:val="en-US" w:eastAsia="ru-RU"/>
              </w:rPr>
              <w:t>Значение характеристики</w:t>
            </w:r>
          </w:p>
        </w:tc>
        <w:tc>
          <w:tcPr>
            <w:tcW w:w="446"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b/>
                <w:bCs/>
                <w:color w:val="000000"/>
                <w:sz w:val="20"/>
                <w:szCs w:val="20"/>
                <w:lang w:eastAsia="ru-RU"/>
              </w:rPr>
            </w:pPr>
            <w:r w:rsidRPr="00F95569">
              <w:rPr>
                <w:rFonts w:ascii="Times New Roman" w:eastAsia="Times New Roman" w:hAnsi="Times New Roman" w:cs="Times New Roman"/>
                <w:b/>
                <w:bCs/>
                <w:color w:val="000000"/>
                <w:sz w:val="20"/>
                <w:szCs w:val="20"/>
                <w:lang w:val="en-US" w:eastAsia="ru-RU"/>
              </w:rPr>
              <w:t>Единица измерения характеристики</w:t>
            </w:r>
          </w:p>
        </w:tc>
        <w:tc>
          <w:tcPr>
            <w:tcW w:w="415"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b/>
                <w:bCs/>
                <w:color w:val="000000"/>
                <w:sz w:val="20"/>
                <w:szCs w:val="20"/>
                <w:lang w:eastAsia="ru-RU"/>
              </w:rPr>
            </w:pPr>
            <w:r w:rsidRPr="00F95569">
              <w:rPr>
                <w:rFonts w:ascii="Times New Roman" w:eastAsia="Times New Roman" w:hAnsi="Times New Roman" w:cs="Times New Roman"/>
                <w:b/>
                <w:bCs/>
                <w:color w:val="000000"/>
                <w:sz w:val="20"/>
                <w:szCs w:val="20"/>
                <w:lang w:eastAsia="ru-RU"/>
              </w:rPr>
              <w:t>Инструкция по заполнению характеристик в заявке</w:t>
            </w:r>
          </w:p>
        </w:tc>
        <w:tc>
          <w:tcPr>
            <w:tcW w:w="482"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b/>
                <w:bCs/>
                <w:color w:val="000000"/>
                <w:sz w:val="20"/>
                <w:szCs w:val="20"/>
                <w:lang w:eastAsia="ru-RU"/>
              </w:rPr>
            </w:pPr>
            <w:r w:rsidRPr="00F95569">
              <w:rPr>
                <w:rFonts w:ascii="Times New Roman" w:eastAsia="Times New Roman" w:hAnsi="Times New Roman" w:cs="Times New Roman"/>
                <w:b/>
                <w:bCs/>
                <w:color w:val="000000"/>
                <w:sz w:val="20"/>
                <w:szCs w:val="20"/>
                <w:lang w:val="en-US" w:eastAsia="ru-RU"/>
              </w:rPr>
              <w:t>Обоснование дополнительных характеристик</w:t>
            </w:r>
          </w:p>
        </w:tc>
        <w:tc>
          <w:tcPr>
            <w:tcW w:w="310" w:type="pct"/>
            <w:vMerge/>
            <w:tcBorders>
              <w:top w:val="single" w:sz="8" w:space="0" w:color="auto"/>
              <w:left w:val="single" w:sz="8" w:space="0" w:color="auto"/>
              <w:bottom w:val="single" w:sz="8" w:space="0" w:color="000000"/>
              <w:right w:val="single" w:sz="4"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b/>
                <w:bCs/>
                <w:color w:val="000000"/>
                <w:sz w:val="20"/>
                <w:szCs w:val="20"/>
                <w:lang w:eastAsia="ru-RU"/>
              </w:rPr>
            </w:pPr>
          </w:p>
        </w:tc>
        <w:tc>
          <w:tcPr>
            <w:tcW w:w="339" w:type="pct"/>
            <w:vMerge/>
            <w:tcBorders>
              <w:top w:val="single" w:sz="4" w:space="0" w:color="auto"/>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b/>
                <w:bCs/>
                <w:color w:val="000000"/>
                <w:sz w:val="20"/>
                <w:szCs w:val="20"/>
                <w:lang w:eastAsia="ru-RU"/>
              </w:rPr>
            </w:pPr>
          </w:p>
        </w:tc>
        <w:tc>
          <w:tcPr>
            <w:tcW w:w="452" w:type="pct"/>
            <w:vMerge/>
            <w:tcBorders>
              <w:top w:val="single" w:sz="4" w:space="0" w:color="auto"/>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r>
      <w:tr w:rsidR="00F95569" w:rsidRPr="00F95569" w:rsidTr="00F95569">
        <w:trPr>
          <w:trHeight w:val="402"/>
        </w:trPr>
        <w:tc>
          <w:tcPr>
            <w:tcW w:w="437" w:type="pct"/>
            <w:vMerge w:val="restart"/>
            <w:tcBorders>
              <w:top w:val="nil"/>
              <w:left w:val="single" w:sz="8" w:space="0" w:color="auto"/>
              <w:bottom w:val="single" w:sz="8" w:space="0" w:color="000000"/>
              <w:right w:val="single" w:sz="8" w:space="0" w:color="auto"/>
            </w:tcBorders>
            <w:shd w:val="clear" w:color="auto" w:fill="auto"/>
            <w:vAlign w:val="center"/>
            <w:hideMark/>
          </w:tcPr>
          <w:p w:rsidR="00F95569" w:rsidRPr="00F95569" w:rsidRDefault="00F95569" w:rsidP="00F95569">
            <w:pPr>
              <w:spacing w:after="0" w:line="240" w:lineRule="auto"/>
              <w:jc w:val="center"/>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Проводник для доступа к периферическим сосудам, ручной</w:t>
            </w:r>
          </w:p>
        </w:tc>
        <w:tc>
          <w:tcPr>
            <w:tcW w:w="352" w:type="pct"/>
            <w:vMerge w:val="restart"/>
            <w:tcBorders>
              <w:top w:val="nil"/>
              <w:left w:val="single" w:sz="8" w:space="0" w:color="auto"/>
              <w:bottom w:val="single" w:sz="8" w:space="0" w:color="000000"/>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32.50.50.190-00001319</w:t>
            </w:r>
            <w:r>
              <w:rPr>
                <w:rFonts w:ascii="Times New Roman" w:eastAsia="Times New Roman" w:hAnsi="Times New Roman" w:cs="Times New Roman"/>
                <w:color w:val="000000"/>
                <w:sz w:val="20"/>
                <w:szCs w:val="20"/>
                <w:lang w:eastAsia="ru-RU"/>
              </w:rPr>
              <w:t>**</w:t>
            </w:r>
          </w:p>
        </w:tc>
        <w:tc>
          <w:tcPr>
            <w:tcW w:w="560"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Длина проводника</w:t>
            </w:r>
          </w:p>
        </w:tc>
        <w:tc>
          <w:tcPr>
            <w:tcW w:w="446"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 190 и ≤ 205</w:t>
            </w:r>
          </w:p>
        </w:tc>
        <w:tc>
          <w:tcPr>
            <w:tcW w:w="446"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см</w:t>
            </w:r>
          </w:p>
        </w:tc>
        <w:tc>
          <w:tcPr>
            <w:tcW w:w="415"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Указывают в заявке конкретное значение характеристики</w:t>
            </w:r>
          </w:p>
        </w:tc>
        <w:tc>
          <w:tcPr>
            <w:tcW w:w="482"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Длина проводника обеспечивает совместимость с другими устройствами и обеспечивает возможность применения в различных анатомических вариантах.</w:t>
            </w:r>
          </w:p>
        </w:tc>
        <w:tc>
          <w:tcPr>
            <w:tcW w:w="310" w:type="pct"/>
            <w:vMerge w:val="restart"/>
            <w:tcBorders>
              <w:top w:val="nil"/>
              <w:left w:val="nil"/>
              <w:bottom w:val="single" w:sz="8" w:space="0" w:color="000000"/>
              <w:right w:val="nil"/>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шт</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F95569" w:rsidRPr="00F95569" w:rsidRDefault="00F95569" w:rsidP="00F95569">
            <w:pPr>
              <w:spacing w:after="0" w:line="240" w:lineRule="auto"/>
              <w:jc w:val="right"/>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32</w:t>
            </w:r>
          </w:p>
        </w:tc>
        <w:tc>
          <w:tcPr>
            <w:tcW w:w="452"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F95569" w:rsidRPr="00F95569" w:rsidRDefault="00F95569" w:rsidP="00F95569">
            <w:pPr>
              <w:spacing w:after="0" w:line="240" w:lineRule="auto"/>
              <w:jc w:val="center"/>
              <w:rPr>
                <w:rFonts w:ascii="Calibri" w:eastAsia="Times New Roman" w:hAnsi="Calibri" w:cs="Times New Roman"/>
                <w:color w:val="000000"/>
                <w:lang w:eastAsia="ru-RU"/>
              </w:rPr>
            </w:pPr>
            <w:r w:rsidRPr="00F95569">
              <w:rPr>
                <w:rFonts w:ascii="Calibri" w:eastAsia="Times New Roman" w:hAnsi="Calibri" w:cs="Times New Roman"/>
                <w:color w:val="000000"/>
                <w:lang w:eastAsia="ru-RU"/>
              </w:rPr>
              <w:t> </w:t>
            </w:r>
          </w:p>
        </w:tc>
        <w:tc>
          <w:tcPr>
            <w:tcW w:w="253"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F95569" w:rsidRPr="00F95569" w:rsidRDefault="00F95569" w:rsidP="00F95569">
            <w:pPr>
              <w:spacing w:after="0" w:line="240" w:lineRule="auto"/>
              <w:jc w:val="center"/>
              <w:rPr>
                <w:rFonts w:ascii="Calibri" w:eastAsia="Times New Roman" w:hAnsi="Calibri" w:cs="Times New Roman"/>
                <w:color w:val="000000"/>
                <w:lang w:eastAsia="ru-RU"/>
              </w:rPr>
            </w:pPr>
            <w:r w:rsidRPr="00F95569">
              <w:rPr>
                <w:rFonts w:ascii="Calibri" w:eastAsia="Times New Roman" w:hAnsi="Calibri" w:cs="Times New Roman"/>
                <w:color w:val="000000"/>
                <w:lang w:eastAsia="ru-RU"/>
              </w:rPr>
              <w:t> </w:t>
            </w:r>
          </w:p>
        </w:tc>
        <w:tc>
          <w:tcPr>
            <w:tcW w:w="253"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F95569" w:rsidRPr="00F95569" w:rsidRDefault="00F95569" w:rsidP="00F95569">
            <w:pPr>
              <w:spacing w:after="0" w:line="240" w:lineRule="auto"/>
              <w:jc w:val="center"/>
              <w:rPr>
                <w:rFonts w:ascii="Calibri" w:eastAsia="Times New Roman" w:hAnsi="Calibri" w:cs="Times New Roman"/>
                <w:color w:val="000000"/>
                <w:lang w:eastAsia="ru-RU"/>
              </w:rPr>
            </w:pPr>
            <w:r w:rsidRPr="00F95569">
              <w:rPr>
                <w:rFonts w:ascii="Calibri" w:eastAsia="Times New Roman" w:hAnsi="Calibri" w:cs="Times New Roman"/>
                <w:color w:val="000000"/>
                <w:lang w:eastAsia="ru-RU"/>
              </w:rPr>
              <w:t> </w:t>
            </w:r>
          </w:p>
        </w:tc>
        <w:tc>
          <w:tcPr>
            <w:tcW w:w="253"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F95569" w:rsidRPr="00F95569" w:rsidRDefault="00F95569" w:rsidP="00F95569">
            <w:pPr>
              <w:spacing w:after="0" w:line="240" w:lineRule="auto"/>
              <w:jc w:val="center"/>
              <w:rPr>
                <w:rFonts w:ascii="Calibri" w:eastAsia="Times New Roman" w:hAnsi="Calibri" w:cs="Times New Roman"/>
                <w:color w:val="000000"/>
                <w:lang w:eastAsia="ru-RU"/>
              </w:rPr>
            </w:pPr>
            <w:r w:rsidRPr="00F95569">
              <w:rPr>
                <w:rFonts w:ascii="Calibri" w:eastAsia="Times New Roman" w:hAnsi="Calibri" w:cs="Times New Roman"/>
                <w:color w:val="000000"/>
                <w:lang w:eastAsia="ru-RU"/>
              </w:rPr>
              <w:t> </w:t>
            </w:r>
          </w:p>
        </w:tc>
      </w:tr>
      <w:tr w:rsidR="00F95569" w:rsidRPr="00F95569" w:rsidTr="00F95569">
        <w:trPr>
          <w:trHeight w:val="402"/>
        </w:trPr>
        <w:tc>
          <w:tcPr>
            <w:tcW w:w="437" w:type="pct"/>
            <w:vMerge/>
            <w:tcBorders>
              <w:top w:val="nil"/>
              <w:left w:val="single" w:sz="8" w:space="0" w:color="auto"/>
              <w:bottom w:val="single" w:sz="8" w:space="0" w:color="000000"/>
              <w:right w:val="single" w:sz="8"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352" w:type="pct"/>
            <w:vMerge/>
            <w:tcBorders>
              <w:top w:val="nil"/>
              <w:left w:val="single" w:sz="8" w:space="0" w:color="auto"/>
              <w:bottom w:val="single" w:sz="8" w:space="0" w:color="000000"/>
              <w:right w:val="single" w:sz="8"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560"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Диаметр проводника</w:t>
            </w:r>
          </w:p>
        </w:tc>
        <w:tc>
          <w:tcPr>
            <w:tcW w:w="446"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jc w:val="right"/>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0,014</w:t>
            </w:r>
          </w:p>
        </w:tc>
        <w:tc>
          <w:tcPr>
            <w:tcW w:w="446"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дюйм</w:t>
            </w:r>
          </w:p>
        </w:tc>
        <w:tc>
          <w:tcPr>
            <w:tcW w:w="415"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82"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Определяет совместимость с другими инструментами и влияет на хирургическую технику</w:t>
            </w:r>
          </w:p>
        </w:tc>
        <w:tc>
          <w:tcPr>
            <w:tcW w:w="310" w:type="pct"/>
            <w:vMerge/>
            <w:tcBorders>
              <w:top w:val="nil"/>
              <w:left w:val="nil"/>
              <w:bottom w:val="single" w:sz="8" w:space="0" w:color="000000"/>
              <w:right w:val="nil"/>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339" w:type="pct"/>
            <w:vMerge/>
            <w:tcBorders>
              <w:top w:val="nil"/>
              <w:left w:val="single" w:sz="4" w:space="0" w:color="auto"/>
              <w:bottom w:val="single" w:sz="4" w:space="0" w:color="auto"/>
              <w:right w:val="single" w:sz="4"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452"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r>
      <w:tr w:rsidR="00F95569" w:rsidRPr="00F95569" w:rsidTr="00F95569">
        <w:trPr>
          <w:trHeight w:val="402"/>
        </w:trPr>
        <w:tc>
          <w:tcPr>
            <w:tcW w:w="437" w:type="pct"/>
            <w:vMerge/>
            <w:tcBorders>
              <w:top w:val="nil"/>
              <w:left w:val="single" w:sz="8" w:space="0" w:color="auto"/>
              <w:bottom w:val="single" w:sz="8" w:space="0" w:color="000000"/>
              <w:right w:val="single" w:sz="8"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352" w:type="pct"/>
            <w:vMerge/>
            <w:tcBorders>
              <w:top w:val="nil"/>
              <w:left w:val="single" w:sz="8" w:space="0" w:color="auto"/>
              <w:bottom w:val="single" w:sz="8" w:space="0" w:color="000000"/>
              <w:right w:val="single" w:sz="8"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560"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Стальное ядро проводника по всей длине</w:t>
            </w:r>
          </w:p>
        </w:tc>
        <w:tc>
          <w:tcPr>
            <w:tcW w:w="446"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Соответствие</w:t>
            </w:r>
          </w:p>
        </w:tc>
        <w:tc>
          <w:tcPr>
            <w:tcW w:w="446"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82"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Придает проводнику жесткость, необходимую для продвижения вперед</w:t>
            </w:r>
          </w:p>
        </w:tc>
        <w:tc>
          <w:tcPr>
            <w:tcW w:w="310" w:type="pct"/>
            <w:vMerge/>
            <w:tcBorders>
              <w:top w:val="nil"/>
              <w:left w:val="nil"/>
              <w:bottom w:val="single" w:sz="8" w:space="0" w:color="000000"/>
              <w:right w:val="nil"/>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339" w:type="pct"/>
            <w:vMerge/>
            <w:tcBorders>
              <w:top w:val="nil"/>
              <w:left w:val="single" w:sz="4" w:space="0" w:color="auto"/>
              <w:bottom w:val="single" w:sz="4" w:space="0" w:color="auto"/>
              <w:right w:val="single" w:sz="4"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452"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r>
      <w:tr w:rsidR="00F95569" w:rsidRPr="00F95569" w:rsidTr="00F95569">
        <w:trPr>
          <w:trHeight w:val="402"/>
        </w:trPr>
        <w:tc>
          <w:tcPr>
            <w:tcW w:w="437" w:type="pct"/>
            <w:vMerge/>
            <w:tcBorders>
              <w:top w:val="nil"/>
              <w:left w:val="single" w:sz="8" w:space="0" w:color="auto"/>
              <w:bottom w:val="single" w:sz="8" w:space="0" w:color="000000"/>
              <w:right w:val="single" w:sz="8"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352" w:type="pct"/>
            <w:vMerge/>
            <w:tcBorders>
              <w:top w:val="nil"/>
              <w:left w:val="single" w:sz="8" w:space="0" w:color="auto"/>
              <w:bottom w:val="single" w:sz="8" w:space="0" w:color="000000"/>
              <w:right w:val="single" w:sz="8"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560"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Проксимальная часть покрыта ПТФЭ</w:t>
            </w:r>
          </w:p>
        </w:tc>
        <w:tc>
          <w:tcPr>
            <w:tcW w:w="446"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Соответствие</w:t>
            </w:r>
          </w:p>
        </w:tc>
        <w:tc>
          <w:tcPr>
            <w:tcW w:w="446"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82"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Важно для навигации в извитых сосудах</w:t>
            </w:r>
          </w:p>
        </w:tc>
        <w:tc>
          <w:tcPr>
            <w:tcW w:w="310" w:type="pct"/>
            <w:vMerge/>
            <w:tcBorders>
              <w:top w:val="nil"/>
              <w:left w:val="nil"/>
              <w:bottom w:val="single" w:sz="8" w:space="0" w:color="000000"/>
              <w:right w:val="nil"/>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339" w:type="pct"/>
            <w:vMerge/>
            <w:tcBorders>
              <w:top w:val="nil"/>
              <w:left w:val="single" w:sz="4" w:space="0" w:color="auto"/>
              <w:bottom w:val="single" w:sz="4" w:space="0" w:color="auto"/>
              <w:right w:val="single" w:sz="4"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452"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r>
      <w:tr w:rsidR="00F95569" w:rsidRPr="00F95569" w:rsidTr="00F95569">
        <w:trPr>
          <w:trHeight w:val="402"/>
        </w:trPr>
        <w:tc>
          <w:tcPr>
            <w:tcW w:w="437" w:type="pct"/>
            <w:vMerge/>
            <w:tcBorders>
              <w:top w:val="nil"/>
              <w:left w:val="single" w:sz="8" w:space="0" w:color="auto"/>
              <w:bottom w:val="single" w:sz="8" w:space="0" w:color="000000"/>
              <w:right w:val="single" w:sz="8"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352" w:type="pct"/>
            <w:vMerge/>
            <w:tcBorders>
              <w:top w:val="nil"/>
              <w:left w:val="single" w:sz="8" w:space="0" w:color="auto"/>
              <w:bottom w:val="single" w:sz="8" w:space="0" w:color="000000"/>
              <w:right w:val="single" w:sz="8"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560"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 xml:space="preserve">Длина рентгеноконтрастного полиуретанового покрытия дистальной части проводника </w:t>
            </w:r>
          </w:p>
        </w:tc>
        <w:tc>
          <w:tcPr>
            <w:tcW w:w="446"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jc w:val="right"/>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38</w:t>
            </w:r>
          </w:p>
        </w:tc>
        <w:tc>
          <w:tcPr>
            <w:tcW w:w="446"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см</w:t>
            </w:r>
          </w:p>
        </w:tc>
        <w:tc>
          <w:tcPr>
            <w:tcW w:w="415"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82"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Полиуретановая оболочка делает дистальный конец проводника более мягким и гибким</w:t>
            </w:r>
          </w:p>
        </w:tc>
        <w:tc>
          <w:tcPr>
            <w:tcW w:w="310" w:type="pct"/>
            <w:vMerge/>
            <w:tcBorders>
              <w:top w:val="nil"/>
              <w:left w:val="nil"/>
              <w:bottom w:val="single" w:sz="8" w:space="0" w:color="000000"/>
              <w:right w:val="nil"/>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339" w:type="pct"/>
            <w:vMerge/>
            <w:tcBorders>
              <w:top w:val="nil"/>
              <w:left w:val="single" w:sz="4" w:space="0" w:color="auto"/>
              <w:bottom w:val="single" w:sz="4" w:space="0" w:color="auto"/>
              <w:right w:val="single" w:sz="4"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452"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r>
      <w:tr w:rsidR="00F95569" w:rsidRPr="00F95569" w:rsidTr="00F95569">
        <w:trPr>
          <w:trHeight w:val="402"/>
        </w:trPr>
        <w:tc>
          <w:tcPr>
            <w:tcW w:w="437" w:type="pct"/>
            <w:vMerge/>
            <w:tcBorders>
              <w:top w:val="nil"/>
              <w:left w:val="single" w:sz="8" w:space="0" w:color="auto"/>
              <w:bottom w:val="single" w:sz="8" w:space="0" w:color="000000"/>
              <w:right w:val="single" w:sz="8"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352" w:type="pct"/>
            <w:vMerge/>
            <w:tcBorders>
              <w:top w:val="nil"/>
              <w:left w:val="single" w:sz="8" w:space="0" w:color="auto"/>
              <w:bottom w:val="single" w:sz="8" w:space="0" w:color="000000"/>
              <w:right w:val="single" w:sz="8"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560"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Длина гидрофильного покрытия дистальной части проводника</w:t>
            </w:r>
          </w:p>
        </w:tc>
        <w:tc>
          <w:tcPr>
            <w:tcW w:w="446"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jc w:val="right"/>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38</w:t>
            </w:r>
          </w:p>
        </w:tc>
        <w:tc>
          <w:tcPr>
            <w:tcW w:w="446"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см</w:t>
            </w:r>
          </w:p>
        </w:tc>
        <w:tc>
          <w:tcPr>
            <w:tcW w:w="415"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82"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Гидрофильное покрытие делает проводник более скользким</w:t>
            </w:r>
          </w:p>
        </w:tc>
        <w:tc>
          <w:tcPr>
            <w:tcW w:w="310" w:type="pct"/>
            <w:vMerge/>
            <w:tcBorders>
              <w:top w:val="nil"/>
              <w:left w:val="nil"/>
              <w:bottom w:val="single" w:sz="8" w:space="0" w:color="000000"/>
              <w:right w:val="nil"/>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339" w:type="pct"/>
            <w:vMerge/>
            <w:tcBorders>
              <w:top w:val="nil"/>
              <w:left w:val="single" w:sz="4" w:space="0" w:color="auto"/>
              <w:bottom w:val="single" w:sz="4" w:space="0" w:color="auto"/>
              <w:right w:val="single" w:sz="4"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452"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r>
      <w:tr w:rsidR="00F95569" w:rsidRPr="00F95569" w:rsidTr="00F95569">
        <w:trPr>
          <w:trHeight w:val="402"/>
        </w:trPr>
        <w:tc>
          <w:tcPr>
            <w:tcW w:w="437" w:type="pct"/>
            <w:vMerge/>
            <w:tcBorders>
              <w:top w:val="nil"/>
              <w:left w:val="single" w:sz="8" w:space="0" w:color="auto"/>
              <w:bottom w:val="single" w:sz="8" w:space="0" w:color="000000"/>
              <w:right w:val="single" w:sz="8"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352" w:type="pct"/>
            <w:vMerge/>
            <w:tcBorders>
              <w:top w:val="nil"/>
              <w:left w:val="single" w:sz="8" w:space="0" w:color="auto"/>
              <w:bottom w:val="single" w:sz="8" w:space="0" w:color="000000"/>
              <w:right w:val="single" w:sz="8"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560"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Не предназначен для использования в коронарных артериях</w:t>
            </w:r>
          </w:p>
        </w:tc>
        <w:tc>
          <w:tcPr>
            <w:tcW w:w="446"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Соответствие</w:t>
            </w:r>
          </w:p>
        </w:tc>
        <w:tc>
          <w:tcPr>
            <w:tcW w:w="446"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82"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Для недопущения перфорации стенки сосуда или его острой диссекции</w:t>
            </w:r>
          </w:p>
        </w:tc>
        <w:tc>
          <w:tcPr>
            <w:tcW w:w="310" w:type="pct"/>
            <w:vMerge/>
            <w:tcBorders>
              <w:top w:val="nil"/>
              <w:left w:val="nil"/>
              <w:bottom w:val="single" w:sz="8" w:space="0" w:color="000000"/>
              <w:right w:val="nil"/>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339" w:type="pct"/>
            <w:vMerge/>
            <w:tcBorders>
              <w:top w:val="nil"/>
              <w:left w:val="single" w:sz="4" w:space="0" w:color="auto"/>
              <w:bottom w:val="single" w:sz="4" w:space="0" w:color="auto"/>
              <w:right w:val="single" w:sz="4"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452"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r>
      <w:tr w:rsidR="00F95569" w:rsidRPr="00F95569" w:rsidTr="00F95569">
        <w:trPr>
          <w:trHeight w:val="402"/>
        </w:trPr>
        <w:tc>
          <w:tcPr>
            <w:tcW w:w="437" w:type="pct"/>
            <w:vMerge/>
            <w:tcBorders>
              <w:top w:val="nil"/>
              <w:left w:val="single" w:sz="8" w:space="0" w:color="auto"/>
              <w:bottom w:val="single" w:sz="8" w:space="0" w:color="000000"/>
              <w:right w:val="single" w:sz="8"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352" w:type="pct"/>
            <w:vMerge/>
            <w:tcBorders>
              <w:top w:val="nil"/>
              <w:left w:val="single" w:sz="8" w:space="0" w:color="auto"/>
              <w:bottom w:val="single" w:sz="8" w:space="0" w:color="000000"/>
              <w:right w:val="single" w:sz="8"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560"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Дистальный кончик является формируемым</w:t>
            </w:r>
          </w:p>
        </w:tc>
        <w:tc>
          <w:tcPr>
            <w:tcW w:w="446"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Соответствие</w:t>
            </w:r>
          </w:p>
        </w:tc>
        <w:tc>
          <w:tcPr>
            <w:tcW w:w="446"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82"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Для оптимальной работы в соответствии с анатомическими особенностями пациента</w:t>
            </w:r>
          </w:p>
        </w:tc>
        <w:tc>
          <w:tcPr>
            <w:tcW w:w="310" w:type="pct"/>
            <w:vMerge/>
            <w:tcBorders>
              <w:top w:val="nil"/>
              <w:left w:val="nil"/>
              <w:bottom w:val="single" w:sz="8" w:space="0" w:color="000000"/>
              <w:right w:val="nil"/>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339" w:type="pct"/>
            <w:vMerge/>
            <w:tcBorders>
              <w:top w:val="nil"/>
              <w:left w:val="single" w:sz="4" w:space="0" w:color="auto"/>
              <w:bottom w:val="single" w:sz="4" w:space="0" w:color="auto"/>
              <w:right w:val="single" w:sz="4"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452"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r>
      <w:tr w:rsidR="00F95569" w:rsidRPr="00F95569" w:rsidTr="00F95569">
        <w:trPr>
          <w:trHeight w:val="402"/>
        </w:trPr>
        <w:tc>
          <w:tcPr>
            <w:tcW w:w="437" w:type="pct"/>
            <w:vMerge/>
            <w:tcBorders>
              <w:top w:val="nil"/>
              <w:left w:val="single" w:sz="8" w:space="0" w:color="auto"/>
              <w:bottom w:val="single" w:sz="8" w:space="0" w:color="000000"/>
              <w:right w:val="single" w:sz="8"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352" w:type="pct"/>
            <w:vMerge/>
            <w:tcBorders>
              <w:top w:val="nil"/>
              <w:left w:val="single" w:sz="8" w:space="0" w:color="auto"/>
              <w:bottom w:val="single" w:sz="8" w:space="0" w:color="000000"/>
              <w:right w:val="single" w:sz="8"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560"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Устройство для вращения и устройство для введения в комплекте с проводником</w:t>
            </w:r>
          </w:p>
        </w:tc>
        <w:tc>
          <w:tcPr>
            <w:tcW w:w="446"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Соответствие</w:t>
            </w:r>
          </w:p>
        </w:tc>
        <w:tc>
          <w:tcPr>
            <w:tcW w:w="446"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82" w:type="pct"/>
            <w:tcBorders>
              <w:top w:val="nil"/>
              <w:left w:val="nil"/>
              <w:bottom w:val="single" w:sz="8" w:space="0" w:color="auto"/>
              <w:right w:val="single" w:sz="8" w:space="0" w:color="auto"/>
            </w:tcBorders>
            <w:shd w:val="clear" w:color="auto" w:fill="auto"/>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r w:rsidRPr="00F95569">
              <w:rPr>
                <w:rFonts w:ascii="Times New Roman" w:eastAsia="Times New Roman" w:hAnsi="Times New Roman" w:cs="Times New Roman"/>
                <w:color w:val="000000"/>
                <w:sz w:val="20"/>
                <w:szCs w:val="20"/>
                <w:lang w:eastAsia="ru-RU"/>
              </w:rPr>
              <w:t>Обеспечивает дополнительный контроль в процессе навигации и позиционирования устройства</w:t>
            </w:r>
          </w:p>
        </w:tc>
        <w:tc>
          <w:tcPr>
            <w:tcW w:w="310" w:type="pct"/>
            <w:vMerge/>
            <w:tcBorders>
              <w:top w:val="nil"/>
              <w:left w:val="nil"/>
              <w:bottom w:val="single" w:sz="8" w:space="0" w:color="000000"/>
              <w:right w:val="nil"/>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339" w:type="pct"/>
            <w:vMerge/>
            <w:tcBorders>
              <w:top w:val="nil"/>
              <w:left w:val="single" w:sz="4" w:space="0" w:color="auto"/>
              <w:bottom w:val="single" w:sz="4" w:space="0" w:color="auto"/>
              <w:right w:val="single" w:sz="4" w:space="0" w:color="auto"/>
            </w:tcBorders>
            <w:vAlign w:val="center"/>
            <w:hideMark/>
          </w:tcPr>
          <w:p w:rsidR="00F95569" w:rsidRPr="00F95569" w:rsidRDefault="00F95569" w:rsidP="00F95569">
            <w:pPr>
              <w:spacing w:after="0" w:line="240" w:lineRule="auto"/>
              <w:rPr>
                <w:rFonts w:ascii="Times New Roman" w:eastAsia="Times New Roman" w:hAnsi="Times New Roman" w:cs="Times New Roman"/>
                <w:color w:val="000000"/>
                <w:sz w:val="20"/>
                <w:szCs w:val="20"/>
                <w:lang w:eastAsia="ru-RU"/>
              </w:rPr>
            </w:pPr>
          </w:p>
        </w:tc>
        <w:tc>
          <w:tcPr>
            <w:tcW w:w="452"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c>
          <w:tcPr>
            <w:tcW w:w="253" w:type="pct"/>
            <w:vMerge/>
            <w:tcBorders>
              <w:top w:val="nil"/>
              <w:left w:val="single" w:sz="4" w:space="0" w:color="auto"/>
              <w:bottom w:val="single" w:sz="4" w:space="0" w:color="000000"/>
              <w:right w:val="single" w:sz="4" w:space="0" w:color="auto"/>
            </w:tcBorders>
            <w:vAlign w:val="center"/>
            <w:hideMark/>
          </w:tcPr>
          <w:p w:rsidR="00F95569" w:rsidRPr="00F95569" w:rsidRDefault="00F95569" w:rsidP="00F95569">
            <w:pPr>
              <w:spacing w:after="0" w:line="240" w:lineRule="auto"/>
              <w:rPr>
                <w:rFonts w:ascii="Calibri" w:eastAsia="Times New Roman" w:hAnsi="Calibri" w:cs="Times New Roman"/>
                <w:color w:val="000000"/>
                <w:lang w:eastAsia="ru-RU"/>
              </w:rPr>
            </w:pPr>
          </w:p>
        </w:tc>
      </w:tr>
    </w:tbl>
    <w:p w:rsidR="00170252" w:rsidRDefault="00170252" w:rsidP="000820E3">
      <w:pPr>
        <w:rPr>
          <w:rFonts w:ascii="Times New Roman" w:hAnsi="Times New Roman" w:cs="Times New Roman"/>
          <w:b/>
          <w:sz w:val="28"/>
          <w:szCs w:val="28"/>
        </w:rPr>
      </w:pPr>
    </w:p>
    <w:sectPr w:rsidR="00170252" w:rsidSect="00F95569">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8A5" w:rsidRDefault="00CC38A5">
      <w:pPr>
        <w:spacing w:after="0" w:line="240" w:lineRule="auto"/>
      </w:pPr>
      <w:r>
        <w:separator/>
      </w:r>
    </w:p>
  </w:endnote>
  <w:endnote w:type="continuationSeparator" w:id="0">
    <w:p w:rsidR="00CC38A5" w:rsidRDefault="00CC3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752CD" w:rsidRDefault="006752CD">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752CD">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6752CD">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752CD">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752CD">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752CD">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F95569">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8A5" w:rsidRDefault="00CC38A5">
      <w:pPr>
        <w:spacing w:after="0" w:line="240" w:lineRule="auto"/>
      </w:pPr>
      <w:r>
        <w:separator/>
      </w:r>
    </w:p>
  </w:footnote>
  <w:footnote w:type="continuationSeparator" w:id="0">
    <w:p w:rsidR="00CC38A5" w:rsidRDefault="00CC38A5">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752CD" w:rsidRDefault="006752CD">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752CD" w:rsidRDefault="006752CD">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752CD" w:rsidRDefault="006752CD">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752CD"/>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38A5"/>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95569"/>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17123689">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674EA-63C5-4656-BDAC-73E003ED6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1199</Words>
  <Characters>6835</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2026-10-16T06:16:00Z</dcterms:created>
  <dcterms:modified xsi:type="dcterms:W3CDTF">2026-10-16T06:16:00Z</dcterms:modified>
</cp:coreProperties>
</file>