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05-07/1680</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AD646E">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Срок годности на момент поставки должен оканчиваться не ранее 02.2027</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ayout w:type="fixed"/>
        <w:tblLook w:val="04A0" w:firstRow="1" w:lastRow="0" w:firstColumn="1" w:lastColumn="0" w:noHBand="0" w:noVBand="1"/>
      </w:tblPr>
      <w:tblGrid>
        <w:gridCol w:w="1857"/>
        <w:gridCol w:w="1229"/>
        <w:gridCol w:w="1560"/>
        <w:gridCol w:w="1703"/>
        <w:gridCol w:w="1132"/>
        <w:gridCol w:w="1844"/>
        <w:gridCol w:w="1560"/>
        <w:gridCol w:w="995"/>
        <w:gridCol w:w="708"/>
        <w:gridCol w:w="995"/>
        <w:gridCol w:w="708"/>
        <w:gridCol w:w="848"/>
        <w:gridCol w:w="810"/>
      </w:tblGrid>
      <w:tr w:rsidR="00FC17E5" w:rsidRPr="00FC17E5" w:rsidTr="00FC17E5">
        <w:trPr>
          <w:trHeight w:val="402"/>
        </w:trPr>
        <w:tc>
          <w:tcPr>
            <w:tcW w:w="58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b/>
                <w:bCs/>
                <w:color w:val="000000"/>
                <w:sz w:val="20"/>
                <w:szCs w:val="20"/>
                <w:lang w:eastAsia="ru-RU"/>
              </w:rPr>
            </w:pPr>
            <w:r w:rsidRPr="00FC17E5">
              <w:rPr>
                <w:rFonts w:ascii="Times New Roman" w:eastAsia="Times New Roman" w:hAnsi="Times New Roman" w:cs="Times New Roman"/>
                <w:b/>
                <w:bCs/>
                <w:color w:val="000000"/>
                <w:sz w:val="20"/>
                <w:szCs w:val="20"/>
                <w:lang w:eastAsia="ru-RU"/>
              </w:rPr>
              <w:t>Наименование товара, работы, услуги</w:t>
            </w:r>
          </w:p>
        </w:tc>
        <w:tc>
          <w:tcPr>
            <w:tcW w:w="38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b/>
                <w:bCs/>
                <w:color w:val="000000"/>
                <w:sz w:val="20"/>
                <w:szCs w:val="20"/>
                <w:lang w:eastAsia="ru-RU"/>
              </w:rPr>
            </w:pPr>
            <w:r w:rsidRPr="00FC17E5">
              <w:rPr>
                <w:rFonts w:ascii="Times New Roman" w:eastAsia="Times New Roman" w:hAnsi="Times New Roman" w:cs="Times New Roman"/>
                <w:b/>
                <w:bCs/>
                <w:color w:val="000000"/>
                <w:sz w:val="20"/>
                <w:szCs w:val="20"/>
                <w:lang w:eastAsia="ru-RU"/>
              </w:rPr>
              <w:t>Код позиции</w:t>
            </w:r>
          </w:p>
        </w:tc>
        <w:tc>
          <w:tcPr>
            <w:tcW w:w="2445" w:type="pct"/>
            <w:gridSpan w:val="5"/>
            <w:tcBorders>
              <w:top w:val="single" w:sz="8" w:space="0" w:color="auto"/>
              <w:left w:val="nil"/>
              <w:bottom w:val="single" w:sz="8" w:space="0" w:color="auto"/>
              <w:right w:val="single" w:sz="8" w:space="0" w:color="000000"/>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b/>
                <w:bCs/>
                <w:color w:val="000000"/>
                <w:sz w:val="20"/>
                <w:szCs w:val="20"/>
                <w:lang w:eastAsia="ru-RU"/>
              </w:rPr>
            </w:pPr>
            <w:r w:rsidRPr="00FC17E5">
              <w:rPr>
                <w:rFonts w:ascii="Times New Roman" w:eastAsia="Times New Roman" w:hAnsi="Times New Roman" w:cs="Times New Roman"/>
                <w:b/>
                <w:bCs/>
                <w:color w:val="000000"/>
                <w:sz w:val="20"/>
                <w:szCs w:val="20"/>
                <w:lang w:eastAsia="ru-RU"/>
              </w:rPr>
              <w:t>Характеристики товара, работы, услуги</w:t>
            </w:r>
          </w:p>
        </w:tc>
        <w:tc>
          <w:tcPr>
            <w:tcW w:w="31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b/>
                <w:bCs/>
                <w:color w:val="000000"/>
                <w:sz w:val="20"/>
                <w:szCs w:val="20"/>
                <w:lang w:eastAsia="ru-RU"/>
              </w:rPr>
            </w:pPr>
            <w:r w:rsidRPr="00FC17E5">
              <w:rPr>
                <w:rFonts w:ascii="Times New Roman" w:eastAsia="Times New Roman" w:hAnsi="Times New Roman" w:cs="Times New Roman"/>
                <w:b/>
                <w:bCs/>
                <w:color w:val="000000"/>
                <w:sz w:val="20"/>
                <w:szCs w:val="20"/>
                <w:lang w:eastAsia="ru-RU"/>
              </w:rPr>
              <w:t>Единица измерения</w:t>
            </w:r>
          </w:p>
        </w:tc>
        <w:tc>
          <w:tcPr>
            <w:tcW w:w="222" w:type="pct"/>
            <w:vMerge w:val="restart"/>
            <w:tcBorders>
              <w:top w:val="single" w:sz="8" w:space="0" w:color="auto"/>
              <w:left w:val="single" w:sz="8" w:space="0" w:color="auto"/>
              <w:bottom w:val="single" w:sz="8" w:space="0" w:color="000000"/>
              <w:right w:val="nil"/>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b/>
                <w:bCs/>
                <w:color w:val="000000"/>
                <w:sz w:val="20"/>
                <w:szCs w:val="20"/>
                <w:lang w:eastAsia="ru-RU"/>
              </w:rPr>
            </w:pPr>
            <w:r w:rsidRPr="00FC17E5">
              <w:rPr>
                <w:rFonts w:ascii="Times New Roman" w:eastAsia="Times New Roman" w:hAnsi="Times New Roman" w:cs="Times New Roman"/>
                <w:b/>
                <w:bCs/>
                <w:color w:val="000000"/>
                <w:sz w:val="20"/>
                <w:szCs w:val="20"/>
                <w:lang w:eastAsia="ru-RU"/>
              </w:rPr>
              <w:t>Количество</w:t>
            </w:r>
          </w:p>
        </w:tc>
        <w:tc>
          <w:tcPr>
            <w:tcW w:w="31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Times New Roman" w:eastAsia="Times New Roman" w:hAnsi="Times New Roman" w:cs="Times New Roman"/>
                <w:b/>
                <w:color w:val="000000"/>
                <w:sz w:val="20"/>
                <w:szCs w:val="20"/>
                <w:lang w:eastAsia="ru-RU"/>
              </w:rPr>
            </w:pPr>
            <w:r w:rsidRPr="00FC17E5">
              <w:rPr>
                <w:rFonts w:ascii="Times New Roman" w:eastAsia="Times New Roman" w:hAnsi="Times New Roman" w:cs="Times New Roman"/>
                <w:b/>
                <w:color w:val="000000"/>
                <w:sz w:val="20"/>
                <w:szCs w:val="20"/>
                <w:lang w:eastAsia="ru-RU"/>
              </w:rPr>
              <w:t>Страна происхождения Товара</w:t>
            </w:r>
          </w:p>
        </w:tc>
        <w:tc>
          <w:tcPr>
            <w:tcW w:w="22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Times New Roman" w:eastAsia="Times New Roman" w:hAnsi="Times New Roman" w:cs="Times New Roman"/>
                <w:b/>
                <w:color w:val="000000"/>
                <w:sz w:val="20"/>
                <w:szCs w:val="20"/>
                <w:lang w:eastAsia="ru-RU"/>
              </w:rPr>
            </w:pPr>
            <w:r w:rsidRPr="00FC17E5">
              <w:rPr>
                <w:rFonts w:ascii="Times New Roman" w:eastAsia="Times New Roman" w:hAnsi="Times New Roman" w:cs="Times New Roman"/>
                <w:b/>
                <w:color w:val="000000"/>
                <w:sz w:val="20"/>
                <w:szCs w:val="20"/>
                <w:lang w:eastAsia="ru-RU"/>
              </w:rPr>
              <w:t>Ставка НДС%</w:t>
            </w:r>
          </w:p>
        </w:tc>
        <w:tc>
          <w:tcPr>
            <w:tcW w:w="266"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Times New Roman" w:eastAsia="Times New Roman" w:hAnsi="Times New Roman" w:cs="Times New Roman"/>
                <w:b/>
                <w:color w:val="000000"/>
                <w:sz w:val="20"/>
                <w:szCs w:val="20"/>
                <w:lang w:eastAsia="ru-RU"/>
              </w:rPr>
            </w:pPr>
            <w:r w:rsidRPr="00FC17E5">
              <w:rPr>
                <w:rFonts w:ascii="Times New Roman" w:eastAsia="Times New Roman" w:hAnsi="Times New Roman" w:cs="Times New Roman"/>
                <w:b/>
                <w:color w:val="000000"/>
                <w:sz w:val="20"/>
                <w:szCs w:val="20"/>
                <w:lang w:eastAsia="ru-RU"/>
              </w:rPr>
              <w:t>Цена за ед. без НДС</w:t>
            </w:r>
          </w:p>
        </w:tc>
        <w:tc>
          <w:tcPr>
            <w:tcW w:w="254"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Times New Roman" w:eastAsia="Times New Roman" w:hAnsi="Times New Roman" w:cs="Times New Roman"/>
                <w:b/>
                <w:color w:val="000000"/>
                <w:sz w:val="20"/>
                <w:szCs w:val="20"/>
                <w:lang w:eastAsia="ru-RU"/>
              </w:rPr>
            </w:pPr>
            <w:r w:rsidRPr="00FC17E5">
              <w:rPr>
                <w:rFonts w:ascii="Times New Roman" w:eastAsia="Times New Roman" w:hAnsi="Times New Roman" w:cs="Times New Roman"/>
                <w:b/>
                <w:color w:val="000000"/>
                <w:sz w:val="20"/>
                <w:szCs w:val="20"/>
                <w:lang w:eastAsia="ru-RU"/>
              </w:rPr>
              <w:t>Сумма без НДС</w:t>
            </w:r>
          </w:p>
        </w:tc>
      </w:tr>
      <w:tr w:rsidR="00FC17E5" w:rsidRPr="00FC17E5" w:rsidTr="00FC17E5">
        <w:trPr>
          <w:trHeight w:val="402"/>
        </w:trPr>
        <w:tc>
          <w:tcPr>
            <w:tcW w:w="582" w:type="pct"/>
            <w:vMerge/>
            <w:tcBorders>
              <w:top w:val="single" w:sz="8" w:space="0" w:color="auto"/>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b/>
                <w:bCs/>
                <w:color w:val="000000"/>
                <w:sz w:val="20"/>
                <w:szCs w:val="20"/>
                <w:lang w:eastAsia="ru-RU"/>
              </w:rPr>
            </w:pPr>
          </w:p>
        </w:tc>
        <w:tc>
          <w:tcPr>
            <w:tcW w:w="385" w:type="pct"/>
            <w:vMerge/>
            <w:tcBorders>
              <w:top w:val="single" w:sz="8" w:space="0" w:color="auto"/>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b/>
                <w:bCs/>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b/>
                <w:bCs/>
                <w:color w:val="000000"/>
                <w:sz w:val="20"/>
                <w:szCs w:val="20"/>
                <w:lang w:eastAsia="ru-RU"/>
              </w:rPr>
            </w:pPr>
            <w:r w:rsidRPr="00FC17E5">
              <w:rPr>
                <w:rFonts w:ascii="Times New Roman" w:eastAsia="Times New Roman" w:hAnsi="Times New Roman" w:cs="Times New Roman"/>
                <w:b/>
                <w:bCs/>
                <w:color w:val="000000"/>
                <w:sz w:val="20"/>
                <w:szCs w:val="20"/>
                <w:lang w:eastAsia="ru-RU"/>
              </w:rPr>
              <w:t>Наименование характеристики</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b/>
                <w:bCs/>
                <w:color w:val="000000"/>
                <w:sz w:val="20"/>
                <w:szCs w:val="20"/>
                <w:lang w:eastAsia="ru-RU"/>
              </w:rPr>
            </w:pPr>
            <w:r w:rsidRPr="00FC17E5">
              <w:rPr>
                <w:rFonts w:ascii="Times New Roman" w:eastAsia="Times New Roman" w:hAnsi="Times New Roman" w:cs="Times New Roman"/>
                <w:b/>
                <w:bCs/>
                <w:color w:val="000000"/>
                <w:sz w:val="20"/>
                <w:szCs w:val="20"/>
                <w:lang w:eastAsia="ru-RU"/>
              </w:rPr>
              <w:t>Значение характеристики</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b/>
                <w:bCs/>
                <w:color w:val="000000"/>
                <w:sz w:val="20"/>
                <w:szCs w:val="20"/>
                <w:lang w:eastAsia="ru-RU"/>
              </w:rPr>
            </w:pPr>
            <w:r w:rsidRPr="00FC17E5">
              <w:rPr>
                <w:rFonts w:ascii="Times New Roman" w:eastAsia="Times New Roman" w:hAnsi="Times New Roman" w:cs="Times New Roman"/>
                <w:b/>
                <w:bCs/>
                <w:color w:val="000000"/>
                <w:sz w:val="20"/>
                <w:szCs w:val="20"/>
                <w:lang w:eastAsia="ru-RU"/>
              </w:rPr>
              <w:t>Единица измерения характеристики</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b/>
                <w:bCs/>
                <w:color w:val="000000"/>
                <w:sz w:val="20"/>
                <w:szCs w:val="20"/>
                <w:lang w:eastAsia="ru-RU"/>
              </w:rPr>
            </w:pPr>
            <w:r w:rsidRPr="00FC17E5">
              <w:rPr>
                <w:rFonts w:ascii="Times New Roman" w:eastAsia="Times New Roman" w:hAnsi="Times New Roman" w:cs="Times New Roman"/>
                <w:b/>
                <w:bCs/>
                <w:color w:val="000000"/>
                <w:sz w:val="20"/>
                <w:szCs w:val="20"/>
                <w:lang w:eastAsia="ru-RU"/>
              </w:rPr>
              <w:t>Инструкция по заполнению характеристик в заявке</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b/>
                <w:bCs/>
                <w:color w:val="000000"/>
                <w:sz w:val="20"/>
                <w:szCs w:val="20"/>
                <w:lang w:eastAsia="ru-RU"/>
              </w:rPr>
            </w:pPr>
            <w:r w:rsidRPr="00FC17E5">
              <w:rPr>
                <w:rFonts w:ascii="Times New Roman" w:eastAsia="Times New Roman" w:hAnsi="Times New Roman" w:cs="Times New Roman"/>
                <w:b/>
                <w:bCs/>
                <w:color w:val="000000"/>
                <w:sz w:val="20"/>
                <w:szCs w:val="20"/>
                <w:lang w:eastAsia="ru-RU"/>
              </w:rPr>
              <w:t>Обоснование дополнительных характеристик</w:t>
            </w:r>
          </w:p>
        </w:tc>
        <w:tc>
          <w:tcPr>
            <w:tcW w:w="312" w:type="pct"/>
            <w:vMerge/>
            <w:tcBorders>
              <w:top w:val="single" w:sz="8" w:space="0" w:color="auto"/>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b/>
                <w:bCs/>
                <w:color w:val="000000"/>
                <w:sz w:val="20"/>
                <w:szCs w:val="20"/>
                <w:lang w:eastAsia="ru-RU"/>
              </w:rPr>
            </w:pPr>
          </w:p>
        </w:tc>
        <w:tc>
          <w:tcPr>
            <w:tcW w:w="222" w:type="pct"/>
            <w:vMerge/>
            <w:tcBorders>
              <w:top w:val="single" w:sz="8" w:space="0" w:color="auto"/>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b/>
                <w:bCs/>
                <w:color w:val="000000"/>
                <w:sz w:val="20"/>
                <w:szCs w:val="20"/>
                <w:lang w:eastAsia="ru-RU"/>
              </w:rPr>
            </w:pPr>
          </w:p>
        </w:tc>
        <w:tc>
          <w:tcPr>
            <w:tcW w:w="312" w:type="pct"/>
            <w:vMerge/>
            <w:tcBorders>
              <w:top w:val="single" w:sz="4" w:space="0" w:color="auto"/>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single" w:sz="4" w:space="0" w:color="auto"/>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single" w:sz="4" w:space="0" w:color="auto"/>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Клей медицинский</w:t>
            </w:r>
          </w:p>
        </w:tc>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21.20.23.199</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Скорость полимеризации не превышает 120 сек.</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Соответствует</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Врач может точнее рассчитать время, необходимое для позиционирования тканей и формирования соединения</w:t>
            </w:r>
          </w:p>
        </w:tc>
        <w:tc>
          <w:tcPr>
            <w:tcW w:w="31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5</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Объем шприца или ампулы</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0,5  и  ≤ 1,0</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мл</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Является оптимальным для обеспечения точности дозирования и удобства применения</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Интродьюсер для ввода медицинских инструментов при сердечно-сосудистых заболеваниях, неуправляемый</w:t>
            </w:r>
          </w:p>
        </w:tc>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32.50.13.190-00007203**</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Диаметр интродьюсера</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6</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val="en-US" w:eastAsia="ru-RU"/>
              </w:rPr>
              <w:t>Fr</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Параметр позволяет выбрать оператору максимально подходящий инструмент исходя из техники и хода операции, также определяет совместимость с другими инструментами</w:t>
            </w:r>
          </w:p>
        </w:tc>
        <w:tc>
          <w:tcPr>
            <w:tcW w:w="31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12</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Совместимость с проводником</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0,021</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дюйм</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Параметр влияет на совместимость с проводниками, а также на возможность осуществления хирургических техник</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Длина интродьюсера</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25</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см</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Параметр позволяет выбрать оператору максимально подходящий инструмент исходя из техники и хода операции, также определяет совместимость с другими инструментами</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Гидрофильное покрытие</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Наличие</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Увеличивает степень</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проходимости за счет</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эффекта "скольжения",</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снижает травматизацию</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Интродьюсер для ввода медицинских инструментов при сердечно-сосудистых заболеваниях, неуправляемый</w:t>
            </w:r>
          </w:p>
        </w:tc>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32.50.13.190-00007203**</w:t>
            </w:r>
          </w:p>
        </w:tc>
        <w:tc>
          <w:tcPr>
            <w:tcW w:w="48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Длина интродьюсера</w:t>
            </w:r>
          </w:p>
        </w:tc>
        <w:tc>
          <w:tcPr>
            <w:tcW w:w="53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23 и ≤ 24</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Сантиметр</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Обеспечивает введение в артериальное русло инструмента соответствующей длины</w:t>
            </w:r>
          </w:p>
        </w:tc>
        <w:tc>
          <w:tcPr>
            <w:tcW w:w="31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60</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000000" w:fill="FFFFFF"/>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Диаметр интродьюсера</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5</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Fr</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Обеспечивает введение в артериальное русло инструмента соответствующего диаметра</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000000" w:fill="FFFFFF"/>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Боковое отведение с 3-ходовым краником</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Наличие</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Необходимо для промывания просвета интродьюсера, введения лекарственных препаратов и взятия образцов крови.</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000000" w:fill="FFFFFF"/>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Гемостатический клапан</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Наличие</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Необходимо для предотвращения истечения крови из артериального русла в процессе эндоваскулярного вмешательства.</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Интродьюсер для ввода медицинских инструментов при сердечно-сосудистых заболеваниях, неуправляемый</w:t>
            </w:r>
          </w:p>
        </w:tc>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32.50.13.190-00007203**</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Диаметр интродьюсера</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6</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Fr</w:t>
            </w:r>
          </w:p>
        </w:tc>
        <w:tc>
          <w:tcPr>
            <w:tcW w:w="57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Обеспечивает возможность ввода в артериальное русло инструментов различного диаметра.</w:t>
            </w:r>
          </w:p>
        </w:tc>
        <w:tc>
          <w:tcPr>
            <w:tcW w:w="31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5</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Гемостатический клапан</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Наличие</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578" w:type="pct"/>
            <w:tcBorders>
              <w:top w:val="nil"/>
              <w:left w:val="nil"/>
              <w:bottom w:val="single" w:sz="8" w:space="0" w:color="auto"/>
              <w:right w:val="single" w:sz="8" w:space="0" w:color="auto"/>
            </w:tcBorders>
            <w:shd w:val="clear" w:color="000000" w:fill="FFFFFF"/>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xml:space="preserve">Обеспечивает устойчивость к аспирации воздуха в отсутствии инструмента, в ходе его замены, а также в процессе манипуляции.         </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Длина интродьюсера</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11 и ≤ 12</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см</w:t>
            </w:r>
          </w:p>
        </w:tc>
        <w:tc>
          <w:tcPr>
            <w:tcW w:w="578" w:type="pct"/>
            <w:tcBorders>
              <w:top w:val="nil"/>
              <w:left w:val="nil"/>
              <w:bottom w:val="single" w:sz="8" w:space="0" w:color="auto"/>
              <w:right w:val="single" w:sz="8" w:space="0" w:color="auto"/>
            </w:tcBorders>
            <w:shd w:val="clear" w:color="000000" w:fill="FFFFFF"/>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Обеспечивает возможность выбора хирургической тактики при различных вариантах поражения артериального русла</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Совместимость с проводником</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0,035 и ≤ 0,038</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дюйм</w:t>
            </w:r>
          </w:p>
        </w:tc>
        <w:tc>
          <w:tcPr>
            <w:tcW w:w="578" w:type="pct"/>
            <w:tcBorders>
              <w:top w:val="nil"/>
              <w:left w:val="nil"/>
              <w:bottom w:val="single" w:sz="8" w:space="0" w:color="auto"/>
              <w:right w:val="single" w:sz="8" w:space="0" w:color="auto"/>
            </w:tcBorders>
            <w:shd w:val="clear" w:color="000000" w:fill="FFFFFF"/>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Обеспечивает безопасное введение интродьюсера в сосудистое русло</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Интродьюсер для ввода медицинских инструментов при сердечно-сосудистых заболеваниях, неуправляемый</w:t>
            </w:r>
          </w:p>
        </w:tc>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32.50.13.190-00007203**</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Диаметр интродьюсера</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val="en-US" w:eastAsia="ru-RU"/>
              </w:rPr>
              <w:t>5</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Fr</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Обеспечивает возможность ввода в артериальное русло инструментов различного диаметра.</w:t>
            </w:r>
          </w:p>
        </w:tc>
        <w:tc>
          <w:tcPr>
            <w:tcW w:w="31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5</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Длина интродьюсера</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11 и ≤ 12</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см</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Обеспечивает возможность выбора хирургической тактики при различных вариантах поражения артериального русла</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nil"/>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Совместимость с проводником</w:t>
            </w:r>
          </w:p>
        </w:tc>
        <w:tc>
          <w:tcPr>
            <w:tcW w:w="534" w:type="pct"/>
            <w:tcBorders>
              <w:top w:val="nil"/>
              <w:left w:val="single" w:sz="8" w:space="0" w:color="auto"/>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0,035</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дюйм</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Обеспечивает безопасное введение интродьюсера в сосудистое русло</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Проводник для доступа к коронарным/периферическим сосудам, одноразового использования</w:t>
            </w:r>
          </w:p>
        </w:tc>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val="en-US" w:eastAsia="ru-RU"/>
              </w:rPr>
              <w:t>32.50.13.110-00005072**</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Длина проводника</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val="en-US" w:eastAsia="ru-RU"/>
              </w:rPr>
              <w:t>260</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см</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Длина проводника</w:t>
            </w:r>
          </w:p>
        </w:tc>
        <w:tc>
          <w:tcPr>
            <w:tcW w:w="31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12</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обеспечивает</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совместимость с другими</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xml:space="preserve">устройствами и </w:t>
            </w:r>
            <w:r w:rsidRPr="00FC17E5">
              <w:rPr>
                <w:rFonts w:ascii="Arial" w:eastAsia="Times New Roman" w:hAnsi="Arial" w:cs="Arial"/>
                <w:color w:val="34343C"/>
                <w:sz w:val="23"/>
                <w:szCs w:val="23"/>
                <w:lang w:eastAsia="ru-RU"/>
              </w:rPr>
              <w:t xml:space="preserve"> </w:t>
            </w:r>
            <w:r w:rsidRPr="00FC17E5">
              <w:rPr>
                <w:rFonts w:ascii="Times New Roman" w:eastAsia="Times New Roman" w:hAnsi="Times New Roman" w:cs="Times New Roman"/>
                <w:color w:val="000000"/>
                <w:sz w:val="20"/>
                <w:szCs w:val="20"/>
                <w:lang w:eastAsia="ru-RU"/>
              </w:rPr>
              <w:t>обеспечивает</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возможность применения</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в различных</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анатомических вариантах</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Диаметр проводника</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0,035</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дюйм</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Параметр определяет</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совместимость с другими</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инструментами</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Гидрофильное покрытие</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Наличие</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Увеличивает степень</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проходимости за счет</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эффекта "скольжения",</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снижает травматизацию</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Форма кончика</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Изогнутая</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Обуславливает</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возможность проведения</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проводника при</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nil"/>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различных анатомических</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вариантах поражения</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Проводник для доступа к коронарным/периферическим сосудам, одноразового использования</w:t>
            </w:r>
          </w:p>
        </w:tc>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32.50.13.110-00005072**</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Покрытие ПТФЭ</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Наличие</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Покрытие способствует более лёгкому продвижению проводника через сложные анатомические структуры, включая стенозы и окклюзии</w:t>
            </w:r>
          </w:p>
        </w:tc>
        <w:tc>
          <w:tcPr>
            <w:tcW w:w="31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45</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Диаметр проводника</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0,035</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дюйм</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Параметр определяет область применения инструмента, его совместимость с другими инструментами</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Длина проводника</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150</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см</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Параметр позволяет работать с сосудами различной локализации, включая труднодоступные участки, минимизируя риск осложнений.</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Форма кончика</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Прямой</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Параметр определяет область применения инструмента, его совместимость с другими инструментами</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Проводник для доступа к коронарным/периферическим сосудам, одноразового использования</w:t>
            </w:r>
          </w:p>
        </w:tc>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32.50.13.110-00005072**</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xml:space="preserve">Диаметр проводника </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right"/>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0,89</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мм</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Параметр определяет область применения инструмента, его совместимость с другими инструментами</w:t>
            </w:r>
          </w:p>
        </w:tc>
        <w:tc>
          <w:tcPr>
            <w:tcW w:w="31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10</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Длина проводника</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175 и ≤ 180</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см</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Параметр позволяет работать с сосудами различной локализации, включая труднодоступные участки, минимизируя риск осложнений.</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Мягкий изогнутый кончик</w:t>
            </w:r>
          </w:p>
        </w:tc>
        <w:tc>
          <w:tcPr>
            <w:tcW w:w="534"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Наличие</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Обуславливает возможность проведения проводника в при различных анатомических вариантах поражения</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Устройство для вращения проводника</w:t>
            </w:r>
          </w:p>
        </w:tc>
        <w:tc>
          <w:tcPr>
            <w:tcW w:w="38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32.50.13.190</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Минимальное значение диапазона совместимого проводника</w:t>
            </w:r>
          </w:p>
        </w:tc>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0,014</w:t>
            </w:r>
          </w:p>
        </w:tc>
        <w:tc>
          <w:tcPr>
            <w:tcW w:w="355"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дюйм</w:t>
            </w:r>
          </w:p>
        </w:tc>
        <w:tc>
          <w:tcPr>
            <w:tcW w:w="578"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89"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312" w:type="pct"/>
            <w:vMerge w:val="restart"/>
            <w:tcBorders>
              <w:top w:val="nil"/>
              <w:left w:val="single" w:sz="8" w:space="0" w:color="auto"/>
              <w:bottom w:val="single" w:sz="8" w:space="0" w:color="000000"/>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20</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C17E5" w:rsidRPr="00FC17E5" w:rsidRDefault="00FC17E5" w:rsidP="00FC17E5">
            <w:pPr>
              <w:spacing w:after="0" w:line="240" w:lineRule="auto"/>
              <w:jc w:val="center"/>
              <w:rPr>
                <w:rFonts w:ascii="Calibri" w:eastAsia="Times New Roman" w:hAnsi="Calibri" w:cs="Times New Roman"/>
                <w:color w:val="000000"/>
                <w:lang w:eastAsia="ru-RU"/>
              </w:rPr>
            </w:pPr>
            <w:r w:rsidRPr="00FC17E5">
              <w:rPr>
                <w:rFonts w:ascii="Calibri" w:eastAsia="Times New Roman" w:hAnsi="Calibri" w:cs="Times New Roman"/>
                <w:color w:val="000000"/>
                <w:lang w:eastAsia="ru-RU"/>
              </w:rPr>
              <w:t> </w:t>
            </w: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34"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578"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r w:rsidR="00FC17E5" w:rsidRPr="00FC17E5" w:rsidTr="00FC17E5">
        <w:trPr>
          <w:trHeight w:val="402"/>
        </w:trPr>
        <w:tc>
          <w:tcPr>
            <w:tcW w:w="58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85"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489" w:type="pct"/>
            <w:tcBorders>
              <w:top w:val="nil"/>
              <w:left w:val="nil"/>
              <w:bottom w:val="single" w:sz="8" w:space="0" w:color="auto"/>
              <w:right w:val="single" w:sz="8" w:space="0" w:color="auto"/>
            </w:tcBorders>
            <w:shd w:val="clear" w:color="000000" w:fill="FFFFFF"/>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Максимальное значение диапазона совместимого проводника</w:t>
            </w:r>
          </w:p>
        </w:tc>
        <w:tc>
          <w:tcPr>
            <w:tcW w:w="534" w:type="pct"/>
            <w:tcBorders>
              <w:top w:val="nil"/>
              <w:left w:val="nil"/>
              <w:bottom w:val="single" w:sz="8" w:space="0" w:color="auto"/>
              <w:right w:val="single" w:sz="8" w:space="0" w:color="auto"/>
            </w:tcBorders>
            <w:shd w:val="clear" w:color="000000" w:fill="FFFFFF"/>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0,038</w:t>
            </w:r>
          </w:p>
        </w:tc>
        <w:tc>
          <w:tcPr>
            <w:tcW w:w="355"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дюйм</w:t>
            </w:r>
          </w:p>
        </w:tc>
        <w:tc>
          <w:tcPr>
            <w:tcW w:w="578"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89" w:type="pct"/>
            <w:tcBorders>
              <w:top w:val="nil"/>
              <w:left w:val="nil"/>
              <w:bottom w:val="single" w:sz="8" w:space="0" w:color="auto"/>
              <w:right w:val="single" w:sz="8" w:space="0" w:color="auto"/>
            </w:tcBorders>
            <w:shd w:val="clear" w:color="auto" w:fill="auto"/>
            <w:vAlign w:val="center"/>
            <w:hideMark/>
          </w:tcPr>
          <w:p w:rsidR="00FC17E5" w:rsidRPr="00FC17E5" w:rsidRDefault="00FC17E5" w:rsidP="00FC17E5">
            <w:pPr>
              <w:spacing w:after="0" w:line="240" w:lineRule="auto"/>
              <w:jc w:val="center"/>
              <w:rPr>
                <w:rFonts w:ascii="Times New Roman" w:eastAsia="Times New Roman" w:hAnsi="Times New Roman" w:cs="Times New Roman"/>
                <w:color w:val="000000"/>
                <w:sz w:val="20"/>
                <w:szCs w:val="20"/>
                <w:lang w:eastAsia="ru-RU"/>
              </w:rPr>
            </w:pPr>
            <w:r w:rsidRPr="00FC17E5">
              <w:rPr>
                <w:rFonts w:ascii="Times New Roman" w:eastAsia="Times New Roman" w:hAnsi="Times New Roman" w:cs="Times New Roman"/>
                <w:color w:val="000000"/>
                <w:sz w:val="20"/>
                <w:szCs w:val="20"/>
                <w:lang w:eastAsia="ru-RU"/>
              </w:rPr>
              <w:t> </w:t>
            </w:r>
          </w:p>
        </w:tc>
        <w:tc>
          <w:tcPr>
            <w:tcW w:w="312" w:type="pct"/>
            <w:vMerge/>
            <w:tcBorders>
              <w:top w:val="nil"/>
              <w:left w:val="single" w:sz="8" w:space="0" w:color="auto"/>
              <w:bottom w:val="single" w:sz="8" w:space="0" w:color="000000"/>
              <w:right w:val="single" w:sz="8" w:space="0" w:color="auto"/>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FC17E5" w:rsidRPr="00FC17E5" w:rsidRDefault="00FC17E5" w:rsidP="00FC17E5">
            <w:pPr>
              <w:spacing w:after="0" w:line="240" w:lineRule="auto"/>
              <w:rPr>
                <w:rFonts w:ascii="Times New Roman" w:eastAsia="Times New Roman" w:hAnsi="Times New Roman" w:cs="Times New Roman"/>
                <w:color w:val="000000"/>
                <w:sz w:val="20"/>
                <w:szCs w:val="20"/>
                <w:lang w:eastAsia="ru-RU"/>
              </w:rPr>
            </w:pPr>
          </w:p>
        </w:tc>
        <w:tc>
          <w:tcPr>
            <w:tcW w:w="31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FC17E5" w:rsidRPr="00FC17E5" w:rsidRDefault="00FC17E5" w:rsidP="00FC17E5">
            <w:pPr>
              <w:spacing w:after="0" w:line="240" w:lineRule="auto"/>
              <w:rPr>
                <w:rFonts w:ascii="Calibri" w:eastAsia="Times New Roman" w:hAnsi="Calibri" w:cs="Times New Roman"/>
                <w:color w:val="000000"/>
                <w:lang w:eastAsia="ru-RU"/>
              </w:rPr>
            </w:pPr>
          </w:p>
        </w:tc>
      </w:tr>
    </w:tbl>
    <w:p w:rsidR="00FC17E5" w:rsidRDefault="00FC17E5" w:rsidP="00FC17E5">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FC17E5">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FC17E5">
        <w:rPr>
          <w:rFonts w:ascii="Roboto" w:hAnsi="Roboto" w:cs="Roboto"/>
          <w:color w:val="333333"/>
          <w:highlight w:val="white"/>
        </w:rPr>
        <w:t xml:space="preserve"> </w:t>
      </w:r>
      <w:r>
        <w:rPr>
          <w:rFonts w:ascii="Calibri" w:hAnsi="Calibri" w:cs="Calibri"/>
          <w:color w:val="333333"/>
          <w:highlight w:val="white"/>
        </w:rPr>
        <w:t>России</w:t>
      </w:r>
      <w:r w:rsidRPr="00FC17E5">
        <w:rPr>
          <w:rFonts w:ascii="Roboto" w:hAnsi="Roboto" w:cs="Roboto"/>
          <w:color w:val="333333"/>
          <w:highlight w:val="white"/>
        </w:rPr>
        <w:t xml:space="preserve"> </w:t>
      </w:r>
      <w:r>
        <w:rPr>
          <w:rFonts w:ascii="Calibri" w:hAnsi="Calibri" w:cs="Calibri"/>
          <w:color w:val="333333"/>
          <w:highlight w:val="white"/>
        </w:rPr>
        <w:t>от</w:t>
      </w:r>
      <w:r w:rsidRPr="00FC17E5">
        <w:rPr>
          <w:rFonts w:ascii="Roboto" w:hAnsi="Roboto" w:cs="Roboto"/>
          <w:color w:val="333333"/>
          <w:highlight w:val="white"/>
        </w:rPr>
        <w:t xml:space="preserve"> 24 </w:t>
      </w:r>
      <w:r>
        <w:rPr>
          <w:rFonts w:ascii="Calibri" w:hAnsi="Calibri" w:cs="Calibri"/>
          <w:color w:val="333333"/>
          <w:highlight w:val="white"/>
        </w:rPr>
        <w:t>января</w:t>
      </w:r>
      <w:r w:rsidRPr="00FC17E5">
        <w:rPr>
          <w:rFonts w:ascii="Roboto" w:hAnsi="Roboto" w:cs="Roboto"/>
          <w:color w:val="333333"/>
          <w:highlight w:val="white"/>
        </w:rPr>
        <w:t xml:space="preserve"> 2022 </w:t>
      </w:r>
      <w:r>
        <w:rPr>
          <w:rFonts w:ascii="Calibri" w:hAnsi="Calibri" w:cs="Calibri"/>
          <w:color w:val="333333"/>
          <w:highlight w:val="white"/>
        </w:rPr>
        <w:t>г</w:t>
      </w:r>
      <w:r w:rsidRPr="00FC17E5">
        <w:rPr>
          <w:rFonts w:ascii="Roboto" w:hAnsi="Roboto" w:cs="Roboto"/>
          <w:color w:val="333333"/>
          <w:highlight w:val="white"/>
        </w:rPr>
        <w:t xml:space="preserve">. </w:t>
      </w:r>
      <w:r>
        <w:rPr>
          <w:rFonts w:ascii="Roboto" w:hAnsi="Roboto" w:cs="Roboto"/>
          <w:color w:val="333333"/>
          <w:highlight w:val="white"/>
          <w:lang w:val="en-US"/>
        </w:rPr>
        <w:t>N</w:t>
      </w:r>
      <w:r w:rsidRPr="00FC17E5">
        <w:rPr>
          <w:rFonts w:ascii="Roboto" w:hAnsi="Roboto" w:cs="Roboto"/>
          <w:color w:val="333333"/>
          <w:highlight w:val="white"/>
        </w:rPr>
        <w:t xml:space="preserve"> 24-03-08/4090)</w:t>
      </w:r>
    </w:p>
    <w:p w:rsidR="00FC17E5" w:rsidRDefault="00FC17E5" w:rsidP="00FC17E5">
      <w:pPr>
        <w:autoSpaceDE w:val="0"/>
        <w:autoSpaceDN w:val="0"/>
        <w:adjustRightInd w:val="0"/>
        <w:jc w:val="both"/>
        <w:rPr>
          <w:rFonts w:ascii="Times New Roman CYR" w:hAnsi="Times New Roman CYR" w:cs="Times New Roman CYR"/>
          <w:b/>
          <w:bCs/>
        </w:rPr>
      </w:pPr>
    </w:p>
    <w:p w:rsidR="00170252" w:rsidRDefault="00170252" w:rsidP="000820E3">
      <w:pPr>
        <w:rPr>
          <w:rFonts w:ascii="Times New Roman" w:hAnsi="Times New Roman" w:cs="Times New Roman"/>
          <w:b/>
          <w:sz w:val="28"/>
          <w:szCs w:val="28"/>
        </w:rPr>
      </w:pPr>
    </w:p>
    <w:sectPr w:rsidR="00170252" w:rsidSect="00FC17E5">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373" w:rsidRDefault="001E6373">
      <w:pPr>
        <w:spacing w:after="0" w:line="240" w:lineRule="auto"/>
      </w:pPr>
      <w:r>
        <w:separator/>
      </w:r>
    </w:p>
  </w:endnote>
  <w:endnote w:type="continuationSeparator" w:id="0">
    <w:p w:rsidR="001E6373" w:rsidRDefault="001E6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D646E" w:rsidRDefault="00AD646E">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D646E">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AD646E">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D646E">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D646E">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FC17E5">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D646E">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FC17E5">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373" w:rsidRDefault="001E6373">
      <w:pPr>
        <w:spacing w:after="0" w:line="240" w:lineRule="auto"/>
      </w:pPr>
      <w:r>
        <w:separator/>
      </w:r>
    </w:p>
  </w:footnote>
  <w:footnote w:type="continuationSeparator" w:id="0">
    <w:p w:rsidR="001E6373" w:rsidRDefault="001E6373">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D646E" w:rsidRDefault="00AD646E">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D646E" w:rsidRDefault="00AD646E">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D646E" w:rsidRDefault="00AD646E">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E6373"/>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D646E"/>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17E5"/>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077236850">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94285-B29D-4B15-B6ED-F93344F02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2072</Words>
  <Characters>11815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2026-08-06T12:45:00Z</dcterms:created>
  <dcterms:modified xsi:type="dcterms:W3CDTF">2026-08-06T12:45:00Z</dcterms:modified>
</cp:coreProperties>
</file>