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30.07.2020 № 05-07/776</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06.08.2020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6665C">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Севофлуран</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20.12.2020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20.11.2020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10 (десяти) рабочих дней с момента поступления письменной заявки от Заказчика, что является существенным условием Контракта. 
                <w:cr/>
                Заказчик вправе направлять заявки на поставку товара до 06.11.2020 г.
                <w:cr/>
                Максимальное количество партий 5 (пять).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Действующие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01.10.2021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 Постановление Правительства от 30.11.2015 № 1289</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
        <w:tblW w:w="0" w:type="auto"/>
        <w:tblInd w:w="0" w:type="dxa"/>
        <w:tblLook w:val="04A0" w:firstRow="1" w:lastRow="0" w:firstColumn="1" w:lastColumn="0" w:noHBand="0" w:noVBand="1"/>
      </w:tblPr>
      <w:tblGrid>
        <w:gridCol w:w="228"/>
        <w:gridCol w:w="409"/>
        <w:gridCol w:w="879"/>
        <w:gridCol w:w="564"/>
        <w:gridCol w:w="1692"/>
        <w:gridCol w:w="795"/>
        <w:gridCol w:w="690"/>
        <w:gridCol w:w="1484"/>
        <w:gridCol w:w="1442"/>
        <w:gridCol w:w="1039"/>
        <w:gridCol w:w="1113"/>
        <w:gridCol w:w="979"/>
        <w:gridCol w:w="1086"/>
        <w:gridCol w:w="1695"/>
        <w:gridCol w:w="1610"/>
      </w:tblGrid>
      <w:tr w:rsidR="00A930D8" w:rsidRPr="00A930D8" w:rsidTr="00072EF6">
        <w:trPr>
          <w:trHeight w:val="60"/>
        </w:trPr>
        <w:tc>
          <w:tcPr>
            <w:tcW w:w="228" w:type="dxa"/>
            <w:shd w:val="clear" w:color="FFFFFF" w:fill="auto"/>
            <w:vAlign w:val="bottom"/>
          </w:tcPr>
          <w:p w:rsidR="00A930D8" w:rsidRPr="00A930D8" w:rsidRDefault="00A930D8" w:rsidP="00A930D8">
            <w:pPr>
              <w:rPr>
                <w:szCs w:val="16"/>
              </w:rPr>
            </w:pPr>
          </w:p>
        </w:tc>
        <w:tc>
          <w:tcPr>
            <w:tcW w:w="409" w:type="dxa"/>
            <w:shd w:val="clear" w:color="FFFFFF" w:fill="auto"/>
            <w:vAlign w:val="bottom"/>
          </w:tcPr>
          <w:p w:rsidR="00A930D8" w:rsidRPr="00A930D8" w:rsidRDefault="00A930D8" w:rsidP="00A930D8">
            <w:pPr>
              <w:rPr>
                <w:szCs w:val="16"/>
              </w:rPr>
            </w:pPr>
          </w:p>
        </w:tc>
        <w:tc>
          <w:tcPr>
            <w:tcW w:w="879" w:type="dxa"/>
            <w:shd w:val="clear" w:color="FFFFFF" w:fill="auto"/>
            <w:vAlign w:val="bottom"/>
          </w:tcPr>
          <w:p w:rsidR="00A930D8" w:rsidRPr="00A930D8" w:rsidRDefault="00A930D8" w:rsidP="00A930D8">
            <w:pPr>
              <w:rPr>
                <w:szCs w:val="16"/>
              </w:rPr>
            </w:pPr>
          </w:p>
        </w:tc>
        <w:tc>
          <w:tcPr>
            <w:tcW w:w="564" w:type="dxa"/>
            <w:shd w:val="clear" w:color="FFFFFF" w:fill="auto"/>
            <w:vAlign w:val="bottom"/>
          </w:tcPr>
          <w:p w:rsidR="00A930D8" w:rsidRPr="00A930D8" w:rsidRDefault="00A930D8" w:rsidP="00A930D8">
            <w:pPr>
              <w:rPr>
                <w:szCs w:val="16"/>
              </w:rPr>
            </w:pPr>
          </w:p>
        </w:tc>
        <w:tc>
          <w:tcPr>
            <w:tcW w:w="1692" w:type="dxa"/>
            <w:shd w:val="clear" w:color="FFFFFF" w:fill="auto"/>
            <w:vAlign w:val="bottom"/>
          </w:tcPr>
          <w:p w:rsidR="00A930D8" w:rsidRPr="00A930D8" w:rsidRDefault="00A930D8" w:rsidP="00A930D8">
            <w:pPr>
              <w:rPr>
                <w:szCs w:val="16"/>
              </w:rPr>
            </w:pPr>
          </w:p>
        </w:tc>
        <w:tc>
          <w:tcPr>
            <w:tcW w:w="795" w:type="dxa"/>
            <w:shd w:val="clear" w:color="FFFFFF" w:fill="auto"/>
            <w:vAlign w:val="bottom"/>
          </w:tcPr>
          <w:p w:rsidR="00A930D8" w:rsidRPr="00A930D8" w:rsidRDefault="00A930D8" w:rsidP="00A930D8">
            <w:pPr>
              <w:rPr>
                <w:szCs w:val="16"/>
              </w:rPr>
            </w:pPr>
          </w:p>
        </w:tc>
        <w:tc>
          <w:tcPr>
            <w:tcW w:w="690" w:type="dxa"/>
            <w:shd w:val="clear" w:color="FFFFFF" w:fill="auto"/>
            <w:vAlign w:val="bottom"/>
          </w:tcPr>
          <w:p w:rsidR="00A930D8" w:rsidRPr="00A930D8" w:rsidRDefault="00A930D8" w:rsidP="00A930D8">
            <w:pPr>
              <w:rPr>
                <w:szCs w:val="16"/>
              </w:rPr>
            </w:pPr>
          </w:p>
        </w:tc>
        <w:tc>
          <w:tcPr>
            <w:tcW w:w="1484" w:type="dxa"/>
            <w:shd w:val="clear" w:color="FFFFFF" w:fill="auto"/>
            <w:vAlign w:val="bottom"/>
          </w:tcPr>
          <w:p w:rsidR="00A930D8" w:rsidRPr="00A930D8" w:rsidRDefault="00A930D8" w:rsidP="00A930D8">
            <w:pPr>
              <w:rPr>
                <w:szCs w:val="16"/>
              </w:rPr>
            </w:pPr>
          </w:p>
        </w:tc>
        <w:tc>
          <w:tcPr>
            <w:tcW w:w="1442" w:type="dxa"/>
            <w:shd w:val="clear" w:color="FFFFFF" w:fill="auto"/>
            <w:vAlign w:val="bottom"/>
          </w:tcPr>
          <w:p w:rsidR="00A930D8" w:rsidRPr="00A930D8" w:rsidRDefault="00A930D8" w:rsidP="00A930D8">
            <w:pPr>
              <w:rPr>
                <w:szCs w:val="16"/>
              </w:rPr>
            </w:pPr>
          </w:p>
        </w:tc>
        <w:tc>
          <w:tcPr>
            <w:tcW w:w="1039" w:type="dxa"/>
            <w:shd w:val="clear" w:color="FFFFFF" w:fill="auto"/>
            <w:vAlign w:val="bottom"/>
          </w:tcPr>
          <w:p w:rsidR="00A930D8" w:rsidRPr="00A930D8" w:rsidRDefault="00A930D8" w:rsidP="00A930D8">
            <w:pPr>
              <w:rPr>
                <w:szCs w:val="16"/>
              </w:rPr>
            </w:pPr>
          </w:p>
        </w:tc>
        <w:tc>
          <w:tcPr>
            <w:tcW w:w="1113" w:type="dxa"/>
            <w:shd w:val="clear" w:color="FFFFFF" w:fill="auto"/>
            <w:vAlign w:val="bottom"/>
          </w:tcPr>
          <w:p w:rsidR="00A930D8" w:rsidRPr="00A930D8" w:rsidRDefault="00A930D8" w:rsidP="00A930D8">
            <w:pPr>
              <w:rPr>
                <w:szCs w:val="16"/>
              </w:rPr>
            </w:pPr>
          </w:p>
        </w:tc>
        <w:tc>
          <w:tcPr>
            <w:tcW w:w="979" w:type="dxa"/>
            <w:shd w:val="clear" w:color="FFFFFF" w:fill="auto"/>
            <w:vAlign w:val="bottom"/>
          </w:tcPr>
          <w:p w:rsidR="00A930D8" w:rsidRPr="00A930D8" w:rsidRDefault="00A930D8" w:rsidP="00A930D8">
            <w:pPr>
              <w:rPr>
                <w:szCs w:val="16"/>
              </w:rPr>
            </w:pPr>
          </w:p>
        </w:tc>
        <w:tc>
          <w:tcPr>
            <w:tcW w:w="1086" w:type="dxa"/>
            <w:shd w:val="clear" w:color="FFFFFF" w:fill="auto"/>
            <w:vAlign w:val="bottom"/>
          </w:tcPr>
          <w:p w:rsidR="00A930D8" w:rsidRPr="00A930D8" w:rsidRDefault="00A930D8" w:rsidP="00A930D8">
            <w:pPr>
              <w:rPr>
                <w:szCs w:val="16"/>
              </w:rPr>
            </w:pPr>
          </w:p>
        </w:tc>
        <w:tc>
          <w:tcPr>
            <w:tcW w:w="1695" w:type="dxa"/>
            <w:shd w:val="clear" w:color="FFFFFF" w:fill="auto"/>
            <w:vAlign w:val="bottom"/>
          </w:tcPr>
          <w:p w:rsidR="00A930D8" w:rsidRPr="00A930D8" w:rsidRDefault="00A930D8" w:rsidP="00A930D8">
            <w:pPr>
              <w:rPr>
                <w:szCs w:val="16"/>
              </w:rPr>
            </w:pPr>
          </w:p>
        </w:tc>
        <w:tc>
          <w:tcPr>
            <w:tcW w:w="1610" w:type="dxa"/>
            <w:shd w:val="clear" w:color="FFFFFF" w:fill="auto"/>
            <w:vAlign w:val="bottom"/>
          </w:tcPr>
          <w:p w:rsidR="00A930D8" w:rsidRPr="00A930D8" w:rsidRDefault="00A930D8" w:rsidP="00A930D8">
            <w:pPr>
              <w:rPr>
                <w:szCs w:val="16"/>
              </w:rPr>
            </w:pPr>
          </w:p>
        </w:tc>
      </w:tr>
      <w:tr w:rsidR="00A930D8" w:rsidRPr="00A930D8" w:rsidTr="00072EF6">
        <w:trPr>
          <w:trHeight w:val="60"/>
        </w:trPr>
        <w:tc>
          <w:tcPr>
            <w:tcW w:w="228" w:type="dxa"/>
            <w:shd w:val="clear" w:color="FFFFFF" w:fill="auto"/>
            <w:vAlign w:val="bottom"/>
          </w:tcPr>
          <w:p w:rsidR="00A930D8" w:rsidRPr="00A930D8" w:rsidRDefault="00A930D8" w:rsidP="00A930D8">
            <w:pPr>
              <w:jc w:val="center"/>
              <w:rPr>
                <w:rFonts w:ascii="Times New Roman" w:hAnsi="Times New Roman"/>
                <w:b/>
              </w:rPr>
            </w:pPr>
          </w:p>
        </w:tc>
        <w:tc>
          <w:tcPr>
            <w:tcW w:w="15477" w:type="dxa"/>
            <w:gridSpan w:val="14"/>
            <w:shd w:val="clear" w:color="FFFFFF" w:fill="auto"/>
            <w:vAlign w:val="bottom"/>
          </w:tcPr>
          <w:p w:rsidR="00A930D8" w:rsidRPr="00A930D8" w:rsidRDefault="00A930D8" w:rsidP="00A930D8">
            <w:pPr>
              <w:jc w:val="center"/>
              <w:rPr>
                <w:rFonts w:ascii="Times New Roman" w:hAnsi="Times New Roman"/>
                <w:b/>
              </w:rPr>
            </w:pPr>
          </w:p>
        </w:tc>
      </w:tr>
      <w:tr w:rsidR="00A930D8" w:rsidRPr="00A930D8" w:rsidTr="00072EF6">
        <w:trPr>
          <w:trHeight w:val="60"/>
        </w:trPr>
        <w:tc>
          <w:tcPr>
            <w:tcW w:w="228" w:type="dxa"/>
            <w:shd w:val="clear" w:color="FFFFFF" w:fill="auto"/>
            <w:vAlign w:val="bottom"/>
          </w:tcPr>
          <w:p w:rsidR="00A930D8" w:rsidRPr="00A930D8" w:rsidRDefault="00A930D8" w:rsidP="00A930D8">
            <w:pPr>
              <w:jc w:val="center"/>
              <w:rPr>
                <w:b/>
                <w:szCs w:val="16"/>
              </w:rPr>
            </w:pPr>
          </w:p>
        </w:tc>
        <w:tc>
          <w:tcPr>
            <w:tcW w:w="409" w:type="dxa"/>
            <w:tcBorders>
              <w:top w:val="single" w:sz="4" w:space="0" w:color="auto"/>
              <w:left w:val="single" w:sz="4" w:space="0" w:color="auto"/>
              <w:bottom w:val="single" w:sz="4" w:space="0" w:color="auto"/>
              <w:right w:val="single" w:sz="4" w:space="0" w:color="auto"/>
            </w:tcBorders>
            <w:shd w:val="clear" w:color="FFFFFF" w:fill="auto"/>
            <w:vAlign w:val="center"/>
          </w:tcPr>
          <w:p w:rsidR="00A930D8" w:rsidRPr="00A930D8" w:rsidRDefault="00A930D8" w:rsidP="00A930D8">
            <w:pPr>
              <w:jc w:val="center"/>
              <w:rPr>
                <w:rFonts w:ascii="Times New Roman" w:hAnsi="Times New Roman"/>
              </w:rPr>
            </w:pPr>
            <w:r w:rsidRPr="00A930D8">
              <w:rPr>
                <w:rFonts w:ascii="Times New Roman" w:hAnsi="Times New Roman"/>
              </w:rPr>
              <w:t>№</w:t>
            </w:r>
          </w:p>
        </w:tc>
        <w:tc>
          <w:tcPr>
            <w:tcW w:w="144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A930D8" w:rsidRPr="00A930D8" w:rsidRDefault="00A930D8" w:rsidP="00A930D8">
            <w:pPr>
              <w:jc w:val="center"/>
              <w:rPr>
                <w:rFonts w:ascii="Times New Roman" w:hAnsi="Times New Roman"/>
              </w:rPr>
            </w:pPr>
            <w:r w:rsidRPr="00A930D8">
              <w:rPr>
                <w:rFonts w:ascii="Times New Roman" w:hAnsi="Times New Roman"/>
              </w:rPr>
              <w:t>Материал</w:t>
            </w:r>
          </w:p>
        </w:tc>
        <w:tc>
          <w:tcPr>
            <w:tcW w:w="2487"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A930D8" w:rsidRPr="00A930D8" w:rsidRDefault="00A930D8" w:rsidP="00A930D8">
            <w:pPr>
              <w:jc w:val="center"/>
              <w:rPr>
                <w:rFonts w:ascii="Times New Roman" w:hAnsi="Times New Roman"/>
              </w:rPr>
            </w:pPr>
            <w:r w:rsidRPr="00A930D8">
              <w:rPr>
                <w:rFonts w:ascii="Times New Roman" w:hAnsi="Times New Roman"/>
              </w:rPr>
              <w:t>Технические характеристики</w:t>
            </w:r>
          </w:p>
        </w:tc>
        <w:tc>
          <w:tcPr>
            <w:tcW w:w="690" w:type="dxa"/>
            <w:tcBorders>
              <w:top w:val="single" w:sz="4" w:space="0" w:color="auto"/>
              <w:left w:val="single" w:sz="4" w:space="0" w:color="auto"/>
              <w:bottom w:val="single" w:sz="4" w:space="0" w:color="auto"/>
              <w:right w:val="single" w:sz="4" w:space="0" w:color="auto"/>
            </w:tcBorders>
            <w:shd w:val="clear" w:color="FFFFFF" w:fill="FFFF00"/>
            <w:vAlign w:val="center"/>
          </w:tcPr>
          <w:p w:rsidR="00A930D8" w:rsidRPr="00A930D8" w:rsidRDefault="00A930D8" w:rsidP="00A930D8">
            <w:pPr>
              <w:jc w:val="center"/>
              <w:rPr>
                <w:rFonts w:ascii="Times New Roman" w:hAnsi="Times New Roman"/>
              </w:rPr>
            </w:pPr>
            <w:r w:rsidRPr="00A930D8">
              <w:rPr>
                <w:rFonts w:ascii="Times New Roman" w:hAnsi="Times New Roman"/>
              </w:rPr>
              <w:t>№ и дата РУ</w:t>
            </w:r>
          </w:p>
        </w:tc>
        <w:tc>
          <w:tcPr>
            <w:tcW w:w="1484" w:type="dxa"/>
            <w:tcBorders>
              <w:top w:val="single" w:sz="4" w:space="0" w:color="auto"/>
              <w:left w:val="single" w:sz="4" w:space="0" w:color="auto"/>
              <w:bottom w:val="single" w:sz="4" w:space="0" w:color="auto"/>
              <w:right w:val="single" w:sz="4" w:space="0" w:color="auto"/>
            </w:tcBorders>
            <w:shd w:val="clear" w:color="FFFFFF" w:fill="FFFF00"/>
            <w:vAlign w:val="center"/>
          </w:tcPr>
          <w:p w:rsidR="00A930D8" w:rsidRPr="00A930D8" w:rsidRDefault="00A930D8" w:rsidP="00A930D8">
            <w:pPr>
              <w:jc w:val="center"/>
              <w:rPr>
                <w:rFonts w:ascii="Times New Roman" w:hAnsi="Times New Roman"/>
              </w:rPr>
            </w:pPr>
            <w:r w:rsidRPr="00A930D8">
              <w:rPr>
                <w:rFonts w:ascii="Times New Roman" w:hAnsi="Times New Roman"/>
              </w:rPr>
              <w:t>Наименование страны происхождения</w:t>
            </w: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A930D8" w:rsidRPr="00A930D8" w:rsidRDefault="00A930D8" w:rsidP="00A930D8">
            <w:pPr>
              <w:jc w:val="center"/>
              <w:rPr>
                <w:rFonts w:ascii="Times New Roman" w:hAnsi="Times New Roman"/>
              </w:rPr>
            </w:pPr>
            <w:r w:rsidRPr="00A930D8">
              <w:rPr>
                <w:rFonts w:ascii="Times New Roman" w:hAnsi="Times New Roman"/>
              </w:rPr>
              <w:t>Код позиции КТРУ</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A930D8" w:rsidRPr="00A930D8" w:rsidRDefault="00A930D8" w:rsidP="00A930D8">
            <w:pPr>
              <w:jc w:val="center"/>
              <w:rPr>
                <w:rFonts w:ascii="Times New Roman" w:hAnsi="Times New Roman"/>
              </w:rPr>
            </w:pPr>
            <w:r w:rsidRPr="00A930D8">
              <w:rPr>
                <w:rFonts w:ascii="Times New Roman" w:hAnsi="Times New Roman"/>
              </w:rPr>
              <w:t>Единица Измерения</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A930D8" w:rsidRPr="00A930D8" w:rsidRDefault="00A930D8" w:rsidP="00A930D8">
            <w:pPr>
              <w:jc w:val="center"/>
              <w:rPr>
                <w:rFonts w:ascii="Times New Roman" w:hAnsi="Times New Roman"/>
              </w:rPr>
            </w:pPr>
            <w:r w:rsidRPr="00A930D8">
              <w:rPr>
                <w:rFonts w:ascii="Times New Roman" w:hAnsi="Times New Roman"/>
              </w:rPr>
              <w:t>Количество единиц измерения*</w:t>
            </w:r>
          </w:p>
        </w:tc>
        <w:tc>
          <w:tcPr>
            <w:tcW w:w="979" w:type="dxa"/>
            <w:tcBorders>
              <w:top w:val="single" w:sz="4" w:space="0" w:color="auto"/>
              <w:left w:val="single" w:sz="4" w:space="0" w:color="auto"/>
              <w:bottom w:val="single" w:sz="4" w:space="0" w:color="auto"/>
              <w:right w:val="single" w:sz="4" w:space="0" w:color="auto"/>
            </w:tcBorders>
            <w:shd w:val="clear" w:color="FFFFFF" w:fill="FFFF00"/>
            <w:vAlign w:val="center"/>
          </w:tcPr>
          <w:p w:rsidR="00A930D8" w:rsidRPr="00A930D8" w:rsidRDefault="00A930D8" w:rsidP="00A930D8">
            <w:pPr>
              <w:jc w:val="center"/>
              <w:rPr>
                <w:rFonts w:ascii="Times New Roman" w:hAnsi="Times New Roman"/>
              </w:rPr>
            </w:pPr>
            <w:r w:rsidRPr="00A930D8">
              <w:rPr>
                <w:rFonts w:ascii="Times New Roman" w:hAnsi="Times New Roman"/>
              </w:rPr>
              <w:t>Цена за ед. без НДС и опт. надбавки</w:t>
            </w:r>
          </w:p>
        </w:tc>
        <w:tc>
          <w:tcPr>
            <w:tcW w:w="1086" w:type="dxa"/>
            <w:tcBorders>
              <w:top w:val="single" w:sz="4" w:space="0" w:color="auto"/>
              <w:left w:val="single" w:sz="4" w:space="0" w:color="auto"/>
              <w:bottom w:val="single" w:sz="4" w:space="0" w:color="auto"/>
              <w:right w:val="single" w:sz="4" w:space="0" w:color="auto"/>
            </w:tcBorders>
            <w:shd w:val="clear" w:color="FFFFFF" w:fill="FFFF00"/>
            <w:vAlign w:val="center"/>
          </w:tcPr>
          <w:p w:rsidR="00A930D8" w:rsidRPr="00A930D8" w:rsidRDefault="00A930D8" w:rsidP="00A930D8">
            <w:pPr>
              <w:jc w:val="center"/>
              <w:rPr>
                <w:rFonts w:ascii="Times New Roman" w:hAnsi="Times New Roman"/>
              </w:rPr>
            </w:pPr>
            <w:r w:rsidRPr="00A930D8">
              <w:rPr>
                <w:rFonts w:ascii="Times New Roman" w:hAnsi="Times New Roman"/>
              </w:rPr>
              <w:t>Цена за ед. без НДС и с опт. надбавкой</w:t>
            </w:r>
          </w:p>
        </w:tc>
        <w:tc>
          <w:tcPr>
            <w:tcW w:w="1695" w:type="dxa"/>
            <w:tcBorders>
              <w:top w:val="single" w:sz="4" w:space="0" w:color="auto"/>
              <w:left w:val="single" w:sz="4" w:space="0" w:color="auto"/>
              <w:bottom w:val="single" w:sz="4" w:space="0" w:color="auto"/>
              <w:right w:val="single" w:sz="4" w:space="0" w:color="auto"/>
            </w:tcBorders>
            <w:shd w:val="clear" w:color="FFFFFF" w:fill="FFFFFF"/>
            <w:vAlign w:val="center"/>
          </w:tcPr>
          <w:p w:rsidR="00A930D8" w:rsidRPr="00A930D8" w:rsidRDefault="00A930D8" w:rsidP="00A930D8">
            <w:pPr>
              <w:jc w:val="center"/>
              <w:rPr>
                <w:rFonts w:ascii="Times New Roman" w:hAnsi="Times New Roman"/>
              </w:rPr>
            </w:pPr>
            <w:r w:rsidRPr="00A930D8">
              <w:rPr>
                <w:rFonts w:ascii="Times New Roman" w:hAnsi="Times New Roman"/>
              </w:rPr>
              <w:t>Единица измерения по ЕСКЛП (Потребительская единица)</w:t>
            </w:r>
          </w:p>
        </w:tc>
        <w:tc>
          <w:tcPr>
            <w:tcW w:w="1610" w:type="dxa"/>
            <w:tcBorders>
              <w:top w:val="single" w:sz="4" w:space="0" w:color="auto"/>
              <w:left w:val="single" w:sz="4" w:space="0" w:color="auto"/>
              <w:bottom w:val="single" w:sz="4" w:space="0" w:color="auto"/>
              <w:right w:val="single" w:sz="4" w:space="0" w:color="auto"/>
            </w:tcBorders>
            <w:shd w:val="clear" w:color="FFFFFF" w:fill="FFFFFF"/>
            <w:vAlign w:val="center"/>
          </w:tcPr>
          <w:p w:rsidR="00A930D8" w:rsidRPr="00A930D8" w:rsidRDefault="00A930D8" w:rsidP="00A930D8">
            <w:pPr>
              <w:jc w:val="center"/>
              <w:rPr>
                <w:rFonts w:ascii="Times New Roman" w:hAnsi="Times New Roman"/>
              </w:rPr>
            </w:pPr>
            <w:r w:rsidRPr="00A930D8">
              <w:rPr>
                <w:rFonts w:ascii="Times New Roman" w:hAnsi="Times New Roman"/>
              </w:rPr>
              <w:t>Количество потребительских единиц</w:t>
            </w:r>
          </w:p>
        </w:tc>
      </w:tr>
      <w:tr w:rsidR="00A930D8" w:rsidRPr="00A930D8" w:rsidTr="00072EF6">
        <w:trPr>
          <w:trHeight w:val="60"/>
        </w:trPr>
        <w:tc>
          <w:tcPr>
            <w:tcW w:w="228" w:type="dxa"/>
            <w:shd w:val="clear" w:color="FFFFFF" w:fill="auto"/>
            <w:vAlign w:val="bottom"/>
          </w:tcPr>
          <w:p w:rsidR="00A930D8" w:rsidRPr="00A930D8" w:rsidRDefault="00A930D8" w:rsidP="00A930D8">
            <w:pPr>
              <w:rPr>
                <w:szCs w:val="16"/>
              </w:rPr>
            </w:pPr>
          </w:p>
        </w:tc>
        <w:tc>
          <w:tcPr>
            <w:tcW w:w="409" w:type="dxa"/>
            <w:tcBorders>
              <w:top w:val="single" w:sz="4" w:space="0" w:color="auto"/>
              <w:left w:val="single" w:sz="4" w:space="0" w:color="auto"/>
              <w:bottom w:val="single" w:sz="4" w:space="0" w:color="auto"/>
              <w:right w:val="single" w:sz="4" w:space="0" w:color="auto"/>
            </w:tcBorders>
            <w:shd w:val="clear" w:color="FFFFFF" w:fill="auto"/>
            <w:vAlign w:val="center"/>
          </w:tcPr>
          <w:p w:rsidR="00A930D8" w:rsidRPr="00A930D8" w:rsidRDefault="00A930D8" w:rsidP="00A930D8">
            <w:pPr>
              <w:jc w:val="center"/>
              <w:rPr>
                <w:rFonts w:ascii="Times New Roman" w:hAnsi="Times New Roman"/>
              </w:rPr>
            </w:pPr>
            <w:r w:rsidRPr="00A930D8">
              <w:rPr>
                <w:rFonts w:ascii="Times New Roman" w:hAnsi="Times New Roman"/>
              </w:rPr>
              <w:t>1</w:t>
            </w:r>
          </w:p>
        </w:tc>
        <w:tc>
          <w:tcPr>
            <w:tcW w:w="1443"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A930D8" w:rsidRPr="00A930D8" w:rsidRDefault="00A930D8" w:rsidP="00A930D8">
            <w:pPr>
              <w:jc w:val="center"/>
              <w:rPr>
                <w:rFonts w:ascii="Times New Roman" w:hAnsi="Times New Roman"/>
              </w:rPr>
            </w:pPr>
            <w:r w:rsidRPr="00A930D8">
              <w:rPr>
                <w:rFonts w:ascii="Times New Roman" w:hAnsi="Times New Roman"/>
              </w:rPr>
              <w:t>Севофлуран</w:t>
            </w:r>
          </w:p>
        </w:tc>
        <w:tc>
          <w:tcPr>
            <w:tcW w:w="2487"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A930D8" w:rsidRPr="00A930D8" w:rsidRDefault="00A930D8" w:rsidP="00A930D8">
            <w:pPr>
              <w:rPr>
                <w:rFonts w:ascii="Times New Roman" w:hAnsi="Times New Roman"/>
              </w:rPr>
            </w:pPr>
            <w:r w:rsidRPr="00A930D8">
              <w:rPr>
                <w:rFonts w:ascii="Times New Roman" w:hAnsi="Times New Roman"/>
              </w:rPr>
              <w:t>МНН: СЕВОФЛУРАН</w:t>
            </w:r>
            <w:r w:rsidRPr="00A930D8">
              <w:rPr>
                <w:rFonts w:ascii="Times New Roman" w:hAnsi="Times New Roman"/>
              </w:rPr>
              <w:br/>
              <w:t>Лекарственная форма: жидкость для ингаляций</w:t>
            </w:r>
            <w:r w:rsidRPr="00A930D8">
              <w:rPr>
                <w:rFonts w:ascii="Times New Roman" w:hAnsi="Times New Roman"/>
              </w:rPr>
              <w:br/>
              <w:t xml:space="preserve">Объем наполнения первичной упаковки: 250 мл** ; </w:t>
            </w:r>
          </w:p>
          <w:p w:rsidR="00A930D8" w:rsidRPr="00A930D8" w:rsidRDefault="00A930D8" w:rsidP="00A930D8">
            <w:pPr>
              <w:rPr>
                <w:rFonts w:ascii="Times New Roman" w:hAnsi="Times New Roman"/>
              </w:rPr>
            </w:pPr>
            <w:r w:rsidRPr="00A930D8">
              <w:rPr>
                <w:rFonts w:ascii="Times New Roman" w:hAnsi="Times New Roman"/>
              </w:rPr>
              <w:t>во флаконе, закрытом укупорочной системой (типа Quik-Fil) или имеющим адаптер, с целью обеспечения совместимости с установленным в ЛПУ оборудованием – испарителем наркозно-дыхательной аппаратуры с заливной системой типа Quik-Fil ***</w:t>
            </w:r>
          </w:p>
        </w:tc>
        <w:tc>
          <w:tcPr>
            <w:tcW w:w="690" w:type="dxa"/>
            <w:tcBorders>
              <w:top w:val="single" w:sz="4" w:space="0" w:color="auto"/>
              <w:left w:val="single" w:sz="4" w:space="0" w:color="auto"/>
              <w:bottom w:val="single" w:sz="4" w:space="0" w:color="auto"/>
              <w:right w:val="single" w:sz="4" w:space="0" w:color="auto"/>
            </w:tcBorders>
            <w:shd w:val="clear" w:color="FFFFFF" w:fill="auto"/>
            <w:vAlign w:val="bottom"/>
          </w:tcPr>
          <w:p w:rsidR="00A930D8" w:rsidRPr="00A930D8" w:rsidRDefault="00A930D8" w:rsidP="00A930D8">
            <w:pPr>
              <w:jc w:val="center"/>
              <w:rPr>
                <w:rFonts w:ascii="Times New Roman" w:hAnsi="Times New Roman"/>
              </w:rPr>
            </w:pPr>
          </w:p>
        </w:tc>
        <w:tc>
          <w:tcPr>
            <w:tcW w:w="1484" w:type="dxa"/>
            <w:tcBorders>
              <w:top w:val="single" w:sz="4" w:space="0" w:color="auto"/>
              <w:left w:val="single" w:sz="4" w:space="0" w:color="auto"/>
              <w:bottom w:val="single" w:sz="4" w:space="0" w:color="auto"/>
              <w:right w:val="single" w:sz="4" w:space="0" w:color="auto"/>
            </w:tcBorders>
            <w:shd w:val="clear" w:color="FFFFFF" w:fill="auto"/>
            <w:vAlign w:val="center"/>
          </w:tcPr>
          <w:p w:rsidR="00A930D8" w:rsidRPr="00A930D8" w:rsidRDefault="00A930D8" w:rsidP="00A930D8">
            <w:pPr>
              <w:jc w:val="cente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A930D8" w:rsidRPr="00A930D8" w:rsidRDefault="00A930D8" w:rsidP="00A930D8">
            <w:pPr>
              <w:jc w:val="center"/>
              <w:rPr>
                <w:rFonts w:ascii="Times New Roman" w:hAnsi="Times New Roman"/>
              </w:rPr>
            </w:pPr>
            <w:r w:rsidRPr="00A930D8">
              <w:rPr>
                <w:rFonts w:ascii="Times New Roman" w:hAnsi="Times New Roman"/>
              </w:rPr>
              <w:t>21.20.10.231-000013-1-00062-0000000000000</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A930D8" w:rsidRPr="00A930D8" w:rsidRDefault="00A930D8" w:rsidP="00A930D8">
            <w:pPr>
              <w:jc w:val="center"/>
              <w:rPr>
                <w:rFonts w:ascii="Times New Roman" w:hAnsi="Times New Roman"/>
              </w:rPr>
            </w:pPr>
            <w:r w:rsidRPr="00A930D8">
              <w:rPr>
                <w:rFonts w:ascii="Times New Roman" w:hAnsi="Times New Roman"/>
              </w:rPr>
              <w:t>шт*</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A930D8" w:rsidRPr="00A930D8" w:rsidRDefault="00A930D8" w:rsidP="00A930D8">
            <w:pPr>
              <w:jc w:val="center"/>
              <w:rPr>
                <w:rFonts w:ascii="Times New Roman" w:hAnsi="Times New Roman"/>
              </w:rPr>
            </w:pPr>
            <w:r w:rsidRPr="00A930D8">
              <w:rPr>
                <w:rFonts w:ascii="Times New Roman" w:hAnsi="Times New Roman"/>
              </w:rPr>
              <w:t>200</w:t>
            </w:r>
          </w:p>
        </w:tc>
        <w:tc>
          <w:tcPr>
            <w:tcW w:w="979" w:type="dxa"/>
            <w:tcBorders>
              <w:top w:val="single" w:sz="4" w:space="0" w:color="auto"/>
              <w:left w:val="single" w:sz="4" w:space="0" w:color="auto"/>
              <w:bottom w:val="single" w:sz="4" w:space="0" w:color="auto"/>
              <w:right w:val="single" w:sz="4" w:space="0" w:color="auto"/>
            </w:tcBorders>
            <w:shd w:val="clear" w:color="FFFFFF" w:fill="auto"/>
            <w:vAlign w:val="center"/>
          </w:tcPr>
          <w:p w:rsidR="00A930D8" w:rsidRPr="00A930D8" w:rsidRDefault="00A930D8" w:rsidP="00A930D8">
            <w:pPr>
              <w:jc w:val="center"/>
              <w:rPr>
                <w:rFonts w:ascii="Times New Roman" w:hAnsi="Times New Roman"/>
              </w:rPr>
            </w:pPr>
          </w:p>
        </w:tc>
        <w:tc>
          <w:tcPr>
            <w:tcW w:w="1086" w:type="dxa"/>
            <w:tcBorders>
              <w:top w:val="single" w:sz="4" w:space="0" w:color="auto"/>
              <w:left w:val="single" w:sz="4" w:space="0" w:color="auto"/>
              <w:bottom w:val="single" w:sz="4" w:space="0" w:color="auto"/>
              <w:right w:val="single" w:sz="4" w:space="0" w:color="auto"/>
            </w:tcBorders>
            <w:shd w:val="clear" w:color="FFFFFF" w:fill="auto"/>
            <w:vAlign w:val="center"/>
          </w:tcPr>
          <w:p w:rsidR="00A930D8" w:rsidRPr="00A930D8" w:rsidRDefault="00A930D8" w:rsidP="00A930D8">
            <w:pPr>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shd w:val="clear" w:color="FFFFFF" w:fill="auto"/>
            <w:vAlign w:val="center"/>
          </w:tcPr>
          <w:p w:rsidR="00A930D8" w:rsidRPr="00A930D8" w:rsidRDefault="00A930D8" w:rsidP="00A930D8">
            <w:pPr>
              <w:jc w:val="center"/>
              <w:rPr>
                <w:rFonts w:ascii="Times New Roman" w:hAnsi="Times New Roman"/>
              </w:rPr>
            </w:pPr>
            <w:r w:rsidRPr="00A930D8">
              <w:rPr>
                <w:rFonts w:ascii="Times New Roman" w:hAnsi="Times New Roman"/>
              </w:rPr>
              <w:t>см3;мл</w:t>
            </w:r>
          </w:p>
        </w:tc>
        <w:tc>
          <w:tcPr>
            <w:tcW w:w="1610" w:type="dxa"/>
            <w:tcBorders>
              <w:top w:val="single" w:sz="4" w:space="0" w:color="auto"/>
              <w:left w:val="single" w:sz="4" w:space="0" w:color="auto"/>
              <w:bottom w:val="single" w:sz="4" w:space="0" w:color="auto"/>
              <w:right w:val="single" w:sz="4" w:space="0" w:color="auto"/>
            </w:tcBorders>
            <w:shd w:val="clear" w:color="FFFFFF" w:fill="auto"/>
            <w:vAlign w:val="center"/>
          </w:tcPr>
          <w:p w:rsidR="00A930D8" w:rsidRPr="00A930D8" w:rsidRDefault="00A930D8" w:rsidP="00A930D8">
            <w:pPr>
              <w:jc w:val="center"/>
              <w:rPr>
                <w:rFonts w:ascii="Times New Roman" w:hAnsi="Times New Roman"/>
              </w:rPr>
            </w:pPr>
            <w:r w:rsidRPr="00A930D8">
              <w:rPr>
                <w:rFonts w:ascii="Times New Roman" w:hAnsi="Times New Roman"/>
              </w:rPr>
              <w:t>50000</w:t>
            </w:r>
          </w:p>
        </w:tc>
      </w:tr>
      <w:tr w:rsidR="00A930D8" w:rsidRPr="00A930D8" w:rsidTr="00072EF6">
        <w:trPr>
          <w:trHeight w:val="60"/>
        </w:trPr>
        <w:tc>
          <w:tcPr>
            <w:tcW w:w="228" w:type="dxa"/>
            <w:shd w:val="clear" w:color="FFFFFF" w:fill="auto"/>
            <w:vAlign w:val="bottom"/>
          </w:tcPr>
          <w:p w:rsidR="00A930D8" w:rsidRPr="00A930D8" w:rsidRDefault="00A930D8" w:rsidP="00A930D8">
            <w:pPr>
              <w:rPr>
                <w:szCs w:val="16"/>
              </w:rPr>
            </w:pPr>
          </w:p>
        </w:tc>
        <w:tc>
          <w:tcPr>
            <w:tcW w:w="409" w:type="dxa"/>
            <w:shd w:val="clear" w:color="FFFFFF" w:fill="auto"/>
            <w:vAlign w:val="bottom"/>
          </w:tcPr>
          <w:p w:rsidR="00A930D8" w:rsidRPr="00A930D8" w:rsidRDefault="00A930D8" w:rsidP="00A930D8">
            <w:pPr>
              <w:rPr>
                <w:szCs w:val="16"/>
              </w:rPr>
            </w:pPr>
          </w:p>
        </w:tc>
        <w:tc>
          <w:tcPr>
            <w:tcW w:w="879" w:type="dxa"/>
            <w:shd w:val="clear" w:color="FFFFFF" w:fill="auto"/>
            <w:vAlign w:val="bottom"/>
          </w:tcPr>
          <w:p w:rsidR="00A930D8" w:rsidRPr="00A930D8" w:rsidRDefault="00A930D8" w:rsidP="00A930D8">
            <w:pPr>
              <w:rPr>
                <w:szCs w:val="16"/>
              </w:rPr>
            </w:pPr>
          </w:p>
        </w:tc>
        <w:tc>
          <w:tcPr>
            <w:tcW w:w="564" w:type="dxa"/>
            <w:shd w:val="clear" w:color="FFFFFF" w:fill="auto"/>
            <w:vAlign w:val="bottom"/>
          </w:tcPr>
          <w:p w:rsidR="00A930D8" w:rsidRPr="00A930D8" w:rsidRDefault="00A930D8" w:rsidP="00A930D8">
            <w:pPr>
              <w:rPr>
                <w:szCs w:val="16"/>
              </w:rPr>
            </w:pPr>
          </w:p>
        </w:tc>
        <w:tc>
          <w:tcPr>
            <w:tcW w:w="1692" w:type="dxa"/>
            <w:shd w:val="clear" w:color="FFFFFF" w:fill="auto"/>
            <w:vAlign w:val="bottom"/>
          </w:tcPr>
          <w:p w:rsidR="00A930D8" w:rsidRPr="00A930D8" w:rsidRDefault="00A930D8" w:rsidP="00A930D8">
            <w:pPr>
              <w:rPr>
                <w:szCs w:val="16"/>
              </w:rPr>
            </w:pPr>
          </w:p>
        </w:tc>
        <w:tc>
          <w:tcPr>
            <w:tcW w:w="795" w:type="dxa"/>
            <w:shd w:val="clear" w:color="FFFFFF" w:fill="auto"/>
            <w:vAlign w:val="bottom"/>
          </w:tcPr>
          <w:p w:rsidR="00A930D8" w:rsidRPr="00A930D8" w:rsidRDefault="00A930D8" w:rsidP="00A930D8">
            <w:pPr>
              <w:rPr>
                <w:szCs w:val="16"/>
              </w:rPr>
            </w:pPr>
          </w:p>
        </w:tc>
        <w:tc>
          <w:tcPr>
            <w:tcW w:w="690" w:type="dxa"/>
            <w:shd w:val="clear" w:color="FFFFFF" w:fill="auto"/>
            <w:vAlign w:val="bottom"/>
          </w:tcPr>
          <w:p w:rsidR="00A930D8" w:rsidRPr="00A930D8" w:rsidRDefault="00A930D8" w:rsidP="00A930D8">
            <w:pPr>
              <w:rPr>
                <w:szCs w:val="16"/>
              </w:rPr>
            </w:pPr>
          </w:p>
        </w:tc>
        <w:tc>
          <w:tcPr>
            <w:tcW w:w="1484" w:type="dxa"/>
            <w:shd w:val="clear" w:color="FFFFFF" w:fill="auto"/>
            <w:vAlign w:val="bottom"/>
          </w:tcPr>
          <w:p w:rsidR="00A930D8" w:rsidRPr="00A930D8" w:rsidRDefault="00A930D8" w:rsidP="00A930D8">
            <w:pPr>
              <w:rPr>
                <w:szCs w:val="16"/>
              </w:rPr>
            </w:pPr>
          </w:p>
        </w:tc>
        <w:tc>
          <w:tcPr>
            <w:tcW w:w="1442" w:type="dxa"/>
            <w:shd w:val="clear" w:color="FFFFFF" w:fill="auto"/>
            <w:vAlign w:val="bottom"/>
          </w:tcPr>
          <w:p w:rsidR="00A930D8" w:rsidRPr="00A930D8" w:rsidRDefault="00A930D8" w:rsidP="00A930D8">
            <w:pPr>
              <w:rPr>
                <w:szCs w:val="16"/>
              </w:rPr>
            </w:pPr>
          </w:p>
        </w:tc>
        <w:tc>
          <w:tcPr>
            <w:tcW w:w="1039" w:type="dxa"/>
            <w:shd w:val="clear" w:color="FFFFFF" w:fill="auto"/>
            <w:vAlign w:val="bottom"/>
          </w:tcPr>
          <w:p w:rsidR="00A930D8" w:rsidRPr="00A930D8" w:rsidRDefault="00A930D8" w:rsidP="00A930D8">
            <w:pPr>
              <w:rPr>
                <w:szCs w:val="16"/>
              </w:rPr>
            </w:pPr>
          </w:p>
        </w:tc>
        <w:tc>
          <w:tcPr>
            <w:tcW w:w="1113" w:type="dxa"/>
            <w:shd w:val="clear" w:color="FFFFFF" w:fill="auto"/>
            <w:vAlign w:val="bottom"/>
          </w:tcPr>
          <w:p w:rsidR="00A930D8" w:rsidRPr="00A930D8" w:rsidRDefault="00A930D8" w:rsidP="00A930D8">
            <w:pPr>
              <w:rPr>
                <w:szCs w:val="16"/>
              </w:rPr>
            </w:pPr>
          </w:p>
        </w:tc>
        <w:tc>
          <w:tcPr>
            <w:tcW w:w="979" w:type="dxa"/>
            <w:shd w:val="clear" w:color="FFFFFF" w:fill="auto"/>
            <w:vAlign w:val="bottom"/>
          </w:tcPr>
          <w:p w:rsidR="00A930D8" w:rsidRPr="00A930D8" w:rsidRDefault="00A930D8" w:rsidP="00A930D8">
            <w:pPr>
              <w:rPr>
                <w:szCs w:val="16"/>
              </w:rPr>
            </w:pPr>
          </w:p>
        </w:tc>
        <w:tc>
          <w:tcPr>
            <w:tcW w:w="1086" w:type="dxa"/>
            <w:shd w:val="clear" w:color="FFFFFF" w:fill="auto"/>
            <w:vAlign w:val="bottom"/>
          </w:tcPr>
          <w:p w:rsidR="00A930D8" w:rsidRPr="00A930D8" w:rsidRDefault="00A930D8" w:rsidP="00A930D8">
            <w:pPr>
              <w:rPr>
                <w:szCs w:val="16"/>
              </w:rPr>
            </w:pPr>
          </w:p>
        </w:tc>
        <w:tc>
          <w:tcPr>
            <w:tcW w:w="1695" w:type="dxa"/>
            <w:shd w:val="clear" w:color="FFFFFF" w:fill="auto"/>
            <w:vAlign w:val="bottom"/>
          </w:tcPr>
          <w:p w:rsidR="00A930D8" w:rsidRPr="00A930D8" w:rsidRDefault="00A930D8" w:rsidP="00A930D8">
            <w:pPr>
              <w:rPr>
                <w:szCs w:val="16"/>
              </w:rPr>
            </w:pPr>
          </w:p>
        </w:tc>
        <w:tc>
          <w:tcPr>
            <w:tcW w:w="1610" w:type="dxa"/>
            <w:shd w:val="clear" w:color="FFFFFF" w:fill="auto"/>
            <w:vAlign w:val="bottom"/>
          </w:tcPr>
          <w:p w:rsidR="00A930D8" w:rsidRPr="00A930D8" w:rsidRDefault="00A930D8" w:rsidP="00A930D8">
            <w:pPr>
              <w:rPr>
                <w:szCs w:val="16"/>
              </w:rPr>
            </w:pPr>
          </w:p>
        </w:tc>
      </w:tr>
      <w:tr w:rsidR="00A930D8" w:rsidRPr="00A930D8" w:rsidTr="00072EF6">
        <w:trPr>
          <w:trHeight w:val="60"/>
        </w:trPr>
        <w:tc>
          <w:tcPr>
            <w:tcW w:w="228" w:type="dxa"/>
            <w:shd w:val="clear" w:color="FFFFFF" w:fill="auto"/>
            <w:vAlign w:val="bottom"/>
          </w:tcPr>
          <w:p w:rsidR="00A930D8" w:rsidRPr="00A930D8" w:rsidRDefault="00A930D8" w:rsidP="00A930D8">
            <w:pPr>
              <w:rPr>
                <w:szCs w:val="16"/>
              </w:rPr>
            </w:pPr>
          </w:p>
        </w:tc>
        <w:tc>
          <w:tcPr>
            <w:tcW w:w="15477" w:type="dxa"/>
            <w:gridSpan w:val="14"/>
            <w:shd w:val="clear" w:color="FFFFFF" w:fill="auto"/>
            <w:vAlign w:val="bottom"/>
          </w:tcPr>
          <w:p w:rsidR="00A930D8" w:rsidRPr="00A930D8" w:rsidRDefault="00A930D8" w:rsidP="00A930D8">
            <w:pPr>
              <w:jc w:val="both"/>
              <w:rPr>
                <w:rFonts w:ascii="Times New Roman" w:hAnsi="Times New Roman"/>
                <w:sz w:val="24"/>
                <w:szCs w:val="24"/>
              </w:rPr>
            </w:pPr>
            <w:r w:rsidRPr="00A930D8">
              <w:rPr>
                <w:rFonts w:ascii="Times New Roman" w:hAnsi="Times New Roman"/>
                <w:sz w:val="24"/>
                <w:szCs w:val="24"/>
              </w:rPr>
              <w:t>*-первичная упаковка</w:t>
            </w:r>
          </w:p>
          <w:p w:rsidR="00A930D8" w:rsidRPr="00A930D8" w:rsidRDefault="00A930D8" w:rsidP="00A930D8">
            <w:pPr>
              <w:widowControl w:val="0"/>
              <w:autoSpaceDE w:val="0"/>
              <w:autoSpaceDN w:val="0"/>
              <w:adjustRightInd w:val="0"/>
              <w:jc w:val="both"/>
              <w:textAlignment w:val="baseline"/>
              <w:rPr>
                <w:rFonts w:ascii="Times New Roman" w:hAnsi="Times New Roman"/>
                <w:sz w:val="24"/>
                <w:szCs w:val="24"/>
              </w:rPr>
            </w:pPr>
            <w:r w:rsidRPr="00A930D8">
              <w:rPr>
                <w:rFonts w:ascii="Times New Roman" w:hAnsi="Times New Roman"/>
                <w:sz w:val="24"/>
                <w:szCs w:val="24"/>
              </w:rPr>
              <w:t>**-Требования к объёму наполнения первичной упаковки обусловлены тем, что при применении флакона меньшего объёма возникает необходимость выключать испаритель  во время обширного оперативного вмешательства с целью добавления недостающего объёма препарата, что ведет к колебаниям концентрации севофлурана во вдыхаемой газонаркотической смеси и риску снижения эффективности воздействия анестезиологического пособия на пациента.</w:t>
            </w:r>
          </w:p>
          <w:p w:rsidR="00A930D8" w:rsidRPr="00A930D8" w:rsidRDefault="00A930D8" w:rsidP="00A930D8">
            <w:pPr>
              <w:widowControl w:val="0"/>
              <w:autoSpaceDE w:val="0"/>
              <w:autoSpaceDN w:val="0"/>
              <w:adjustRightInd w:val="0"/>
              <w:jc w:val="both"/>
              <w:textAlignment w:val="baseline"/>
              <w:rPr>
                <w:rFonts w:ascii="Times New Roman" w:hAnsi="Times New Roman"/>
                <w:sz w:val="24"/>
                <w:szCs w:val="24"/>
              </w:rPr>
            </w:pPr>
            <w:r w:rsidRPr="00A930D8">
              <w:rPr>
                <w:rFonts w:ascii="Times New Roman" w:hAnsi="Times New Roman"/>
                <w:sz w:val="24"/>
                <w:szCs w:val="24"/>
              </w:rPr>
              <w:t xml:space="preserve"> *** Данное требование обосновано имеющемся в наличии у Заказчика наркозно-дыхательным оборудованием Drager Fabius c испарителями Севофлуран с типом заливного устройства системой Quik-Fil. Без соблюдения данного условия, предусмотренного технической документацией, эксплуатация наркозно-дыхательного оборудования не допускается. </w:t>
            </w:r>
          </w:p>
          <w:p w:rsidR="00A930D8" w:rsidRPr="00A930D8" w:rsidRDefault="00A930D8" w:rsidP="00A930D8">
            <w:pPr>
              <w:jc w:val="both"/>
              <w:rPr>
                <w:rFonts w:ascii="Times New Roman" w:hAnsi="Times New Roman"/>
                <w:sz w:val="24"/>
                <w:szCs w:val="24"/>
              </w:rPr>
            </w:pPr>
          </w:p>
          <w:p w:rsidR="00A930D8" w:rsidRPr="00A930D8" w:rsidRDefault="00A930D8" w:rsidP="00A930D8">
            <w:pPr>
              <w:jc w:val="both"/>
              <w:rPr>
                <w:rFonts w:ascii="Times New Roman" w:hAnsi="Times New Roman"/>
                <w:sz w:val="24"/>
                <w:szCs w:val="24"/>
              </w:rPr>
            </w:pPr>
            <w:r w:rsidRPr="00A930D8">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A930D8" w:rsidRPr="00A930D8" w:rsidTr="00072EF6">
        <w:trPr>
          <w:trHeight w:val="60"/>
        </w:trPr>
        <w:tc>
          <w:tcPr>
            <w:tcW w:w="228" w:type="dxa"/>
            <w:shd w:val="clear" w:color="FFFFFF" w:fill="auto"/>
            <w:vAlign w:val="bottom"/>
          </w:tcPr>
          <w:p w:rsidR="00A930D8" w:rsidRPr="00A930D8" w:rsidRDefault="00A930D8" w:rsidP="00A930D8">
            <w:pPr>
              <w:rPr>
                <w:szCs w:val="16"/>
              </w:rPr>
            </w:pPr>
          </w:p>
        </w:tc>
        <w:tc>
          <w:tcPr>
            <w:tcW w:w="409" w:type="dxa"/>
            <w:shd w:val="clear" w:color="FFFFFF" w:fill="FFFF00"/>
            <w:vAlign w:val="bottom"/>
          </w:tcPr>
          <w:p w:rsidR="00A930D8" w:rsidRPr="00A930D8" w:rsidRDefault="00A930D8" w:rsidP="00A930D8">
            <w:pPr>
              <w:jc w:val="center"/>
              <w:rPr>
                <w:rFonts w:ascii="Times New Roman" w:hAnsi="Times New Roman"/>
                <w:i/>
                <w:sz w:val="24"/>
                <w:szCs w:val="24"/>
              </w:rPr>
            </w:pPr>
            <w:r w:rsidRPr="00A930D8">
              <w:rPr>
                <w:rFonts w:ascii="Times New Roman" w:hAnsi="Times New Roman"/>
                <w:i/>
                <w:sz w:val="24"/>
                <w:szCs w:val="24"/>
              </w:rPr>
              <w:t>*</w:t>
            </w:r>
          </w:p>
        </w:tc>
        <w:tc>
          <w:tcPr>
            <w:tcW w:w="15068" w:type="dxa"/>
            <w:gridSpan w:val="13"/>
            <w:shd w:val="clear" w:color="FFFFFF" w:fill="auto"/>
            <w:vAlign w:val="bottom"/>
          </w:tcPr>
          <w:p w:rsidR="00A930D8" w:rsidRPr="00A930D8" w:rsidRDefault="00A930D8" w:rsidP="00A930D8">
            <w:pPr>
              <w:rPr>
                <w:rFonts w:ascii="Times New Roman" w:hAnsi="Times New Roman"/>
                <w:i/>
                <w:sz w:val="24"/>
                <w:szCs w:val="24"/>
              </w:rPr>
            </w:pPr>
            <w:r w:rsidRPr="00A930D8">
              <w:rPr>
                <w:rFonts w:ascii="Times New Roman" w:hAnsi="Times New Roman"/>
                <w:i/>
                <w:sz w:val="24"/>
                <w:szCs w:val="24"/>
              </w:rPr>
              <w:t>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A930D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99F" w:rsidRDefault="00D3599F">
      <w:pPr>
        <w:spacing w:after="0" w:line="240" w:lineRule="auto"/>
      </w:pPr>
      <w:r>
        <w:separator/>
      </w:r>
    </w:p>
  </w:endnote>
  <w:endnote w:type="continuationSeparator" w:id="0">
    <w:p w:rsidR="00D3599F" w:rsidRDefault="00D35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6665C">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6665C">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6665C">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6665C">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6665C">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A930D8">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99F" w:rsidRDefault="00D3599F">
      <w:pPr>
        <w:spacing w:after="0" w:line="240" w:lineRule="auto"/>
      </w:pPr>
      <w:r>
        <w:separator/>
      </w:r>
    </w:p>
  </w:footnote>
  <w:footnote w:type="continuationSeparator" w:id="0">
    <w:p w:rsidR="00D3599F" w:rsidRDefault="00D3599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6665C"/>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30D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3599F"/>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A930D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A930D8"/>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D22C6-D562-4F24-B363-BC81E56B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6680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2020-07-30T14:01:00Z</dcterms:created>
  <dcterms:modified xsi:type="dcterms:W3CDTF">2020-07-30T14:01:00Z</dcterms:modified>
</cp:coreProperties>
</file>