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13.01.2026 № 21.1-03/2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53736">
                  <w:pPr>
                    <w:ind w:right="-1"/>
                    <w:jc w:val="right"/>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27.01.2026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1E1E45">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реагентов и расходных материалов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Поставка осуществляется партиями, по заявкам Заказчика.
                <w:br/>
                Срок исполнения заявки: в течение 30 (тридцати) календарных дней после поступления заявки от Заказчика. 
                <w:br/>
                Последняя дата подачи заявки на поставку не позднее 27.02.2026. Максимальное количество заявок: 4
              </w:t>
            </w:r>
            <w:r w:rsidRPr="00C15FD9">
              <w:rPr>
                <w:rFonts w:ascii="Times New Roman" w:hAnsi="Times New Roman" w:cs="Times New Roman"/>
                <w:noProof/>
                <w:sz w:val="24"/>
                <w:szCs w:val="24"/>
              </w:rPr>
              <w:t xml:space="preserve"/>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Действующие 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4 (четырех) месяцев</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21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84"/>
        <w:gridCol w:w="1425"/>
        <w:gridCol w:w="1700"/>
        <w:gridCol w:w="2056"/>
        <w:gridCol w:w="775"/>
        <w:gridCol w:w="1700"/>
        <w:gridCol w:w="948"/>
        <w:gridCol w:w="749"/>
        <w:gridCol w:w="1251"/>
        <w:gridCol w:w="948"/>
        <w:gridCol w:w="752"/>
        <w:gridCol w:w="928"/>
        <w:gridCol w:w="852"/>
      </w:tblGrid>
      <w:tr w:rsidR="00820369" w:rsidRPr="007D049E" w:rsidTr="00820369">
        <w:tc>
          <w:tcPr>
            <w:tcW w:w="171"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w:t>
            </w:r>
          </w:p>
        </w:tc>
        <w:tc>
          <w:tcPr>
            <w:tcW w:w="596"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Наименование</w:t>
            </w:r>
          </w:p>
        </w:tc>
        <w:tc>
          <w:tcPr>
            <w:tcW w:w="2301" w:type="pct"/>
            <w:gridSpan w:val="5"/>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Технические характеристики</w:t>
            </w:r>
          </w:p>
        </w:tc>
        <w:tc>
          <w:tcPr>
            <w:tcW w:w="285"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Ед. изм.</w:t>
            </w:r>
          </w:p>
        </w:tc>
        <w:tc>
          <w:tcPr>
            <w:tcW w:w="225"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Кол-во</w:t>
            </w:r>
          </w:p>
        </w:tc>
        <w:tc>
          <w:tcPr>
            <w:tcW w:w="376" w:type="pct"/>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ОКПД2/</w:t>
            </w:r>
          </w:p>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Calibri" w:hAnsi="Times New Roman" w:cs="Times New Roman"/>
                <w:b/>
                <w:sz w:val="18"/>
                <w:szCs w:val="18"/>
              </w:rPr>
              <w:t>КТРУ</w:t>
            </w:r>
          </w:p>
        </w:tc>
        <w:tc>
          <w:tcPr>
            <w:tcW w:w="285" w:type="pct"/>
            <w:shd w:val="clear" w:color="auto" w:fill="FFFF99"/>
          </w:tcPr>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 xml:space="preserve">Страна </w:t>
            </w:r>
          </w:p>
        </w:tc>
        <w:tc>
          <w:tcPr>
            <w:tcW w:w="226" w:type="pc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НДС </w:t>
            </w:r>
          </w:p>
          <w:p w:rsidR="00176C73" w:rsidRPr="007D049E" w:rsidRDefault="00176C73"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w:t>
            </w:r>
          </w:p>
        </w:tc>
        <w:tc>
          <w:tcPr>
            <w:tcW w:w="279" w:type="pct"/>
            <w:shd w:val="clear" w:color="auto" w:fill="FFFF99"/>
          </w:tcPr>
          <w:p w:rsidR="00176C73" w:rsidRDefault="00176C73"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Цена за ед. </w:t>
            </w:r>
          </w:p>
          <w:p w:rsidR="00176C73" w:rsidRDefault="00176C73" w:rsidP="00763F3D">
            <w:pPr>
              <w:spacing w:after="0"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без </w:t>
            </w:r>
            <w:r w:rsidRPr="007D049E">
              <w:rPr>
                <w:rFonts w:ascii="Times New Roman" w:eastAsia="Times New Roman" w:hAnsi="Times New Roman" w:cs="Times New Roman"/>
                <w:b/>
                <w:sz w:val="18"/>
                <w:szCs w:val="18"/>
              </w:rPr>
              <w:t xml:space="preserve">НДС </w:t>
            </w:r>
          </w:p>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r>
              <w:rPr>
                <w:rFonts w:ascii="Times New Roman" w:eastAsia="Times New Roman" w:hAnsi="Times New Roman" w:cs="Times New Roman"/>
                <w:b/>
                <w:sz w:val="18"/>
                <w:szCs w:val="18"/>
              </w:rPr>
              <w:t>.</w:t>
            </w:r>
            <w:r w:rsidRPr="007D049E">
              <w:rPr>
                <w:rFonts w:ascii="Times New Roman" w:eastAsia="Times New Roman" w:hAnsi="Times New Roman" w:cs="Times New Roman"/>
                <w:b/>
                <w:sz w:val="18"/>
                <w:szCs w:val="18"/>
              </w:rPr>
              <w:t>)</w:t>
            </w:r>
          </w:p>
        </w:tc>
        <w:tc>
          <w:tcPr>
            <w:tcW w:w="257" w:type="pc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r w:rsidRPr="007D049E">
              <w:rPr>
                <w:rFonts w:ascii="Times New Roman" w:eastAsia="Times New Roman" w:hAnsi="Times New Roman" w:cs="Times New Roman"/>
                <w:b/>
                <w:sz w:val="18"/>
                <w:szCs w:val="18"/>
              </w:rPr>
              <w:t xml:space="preserve">Сумма </w:t>
            </w:r>
            <w:r>
              <w:rPr>
                <w:rFonts w:ascii="Times New Roman" w:eastAsia="Times New Roman" w:hAnsi="Times New Roman" w:cs="Times New Roman"/>
                <w:b/>
                <w:sz w:val="18"/>
                <w:szCs w:val="18"/>
              </w:rPr>
              <w:t>без</w:t>
            </w:r>
            <w:r w:rsidRPr="007D049E">
              <w:rPr>
                <w:rFonts w:ascii="Times New Roman" w:eastAsia="Times New Roman" w:hAnsi="Times New Roman" w:cs="Times New Roman"/>
                <w:b/>
                <w:sz w:val="18"/>
                <w:szCs w:val="18"/>
              </w:rPr>
              <w:t xml:space="preserve"> НДС </w:t>
            </w:r>
          </w:p>
          <w:p w:rsidR="00176C73" w:rsidRPr="007D049E" w:rsidRDefault="00176C73" w:rsidP="00763F3D">
            <w:pPr>
              <w:spacing w:after="0" w:line="240" w:lineRule="auto"/>
              <w:jc w:val="center"/>
              <w:rPr>
                <w:rFonts w:ascii="Times New Roman" w:eastAsia="Calibri" w:hAnsi="Times New Roman" w:cs="Times New Roman"/>
                <w:b/>
                <w:sz w:val="18"/>
                <w:szCs w:val="18"/>
              </w:rPr>
            </w:pPr>
            <w:r w:rsidRPr="007D049E">
              <w:rPr>
                <w:rFonts w:ascii="Times New Roman" w:eastAsia="Times New Roman" w:hAnsi="Times New Roman" w:cs="Times New Roman"/>
                <w:b/>
                <w:sz w:val="18"/>
                <w:szCs w:val="18"/>
              </w:rPr>
              <w:t>(руб)</w:t>
            </w:r>
          </w:p>
        </w:tc>
      </w:tr>
      <w:tr w:rsidR="00820369" w:rsidRPr="007D049E" w:rsidTr="00820369">
        <w:tc>
          <w:tcPr>
            <w:tcW w:w="171" w:type="pct"/>
            <w:vMerge w:val="restar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1</w:t>
            </w:r>
          </w:p>
        </w:tc>
        <w:tc>
          <w:tcPr>
            <w:tcW w:w="596" w:type="pct"/>
            <w:vMerge w:val="restart"/>
            <w:shd w:val="clear" w:color="FFFFFF" w:fill="auto"/>
          </w:tcPr>
          <w:p w:rsidR="00176C73" w:rsidRDefault="00176C73" w:rsidP="00820369">
            <w:pPr>
              <w:spacing w:after="0" w:line="240" w:lineRule="auto"/>
              <w:ind w:right="-117"/>
              <w:rPr>
                <w:rFonts w:ascii="Times New Roman" w:eastAsia="Calibri" w:hAnsi="Times New Roman" w:cs="Times New Roman"/>
                <w:b/>
                <w:sz w:val="18"/>
                <w:szCs w:val="18"/>
              </w:rPr>
            </w:pPr>
            <w:r w:rsidRPr="006939EF">
              <w:rPr>
                <w:rFonts w:ascii="Times New Roman" w:eastAsia="Calibri" w:hAnsi="Times New Roman" w:cs="Times New Roman"/>
                <w:b/>
                <w:sz w:val="18"/>
                <w:szCs w:val="18"/>
              </w:rPr>
              <w:t xml:space="preserve">Набор для </w:t>
            </w:r>
            <w:r w:rsidR="00820369">
              <w:rPr>
                <w:rFonts w:ascii="Times New Roman" w:eastAsia="Calibri" w:hAnsi="Times New Roman" w:cs="Times New Roman"/>
                <w:b/>
                <w:sz w:val="18"/>
                <w:szCs w:val="18"/>
              </w:rPr>
              <w:t>приготовления радиофармпрепарата</w:t>
            </w:r>
            <w:r w:rsidRPr="006939EF">
              <w:rPr>
                <w:rFonts w:ascii="Times New Roman" w:eastAsia="Calibri" w:hAnsi="Times New Roman" w:cs="Times New Roman"/>
                <w:b/>
                <w:sz w:val="18"/>
                <w:szCs w:val="18"/>
              </w:rPr>
              <w:t>, меченного 99mTc</w:t>
            </w:r>
          </w:p>
          <w:p w:rsidR="00176C73" w:rsidRPr="006939EF" w:rsidRDefault="00176C73" w:rsidP="00763F3D">
            <w:pPr>
              <w:spacing w:after="0" w:line="240" w:lineRule="auto"/>
              <w:rPr>
                <w:rFonts w:ascii="Times New Roman" w:eastAsia="Calibri" w:hAnsi="Times New Roman" w:cs="Times New Roman"/>
                <w:b/>
                <w:sz w:val="18"/>
                <w:szCs w:val="18"/>
              </w:rPr>
            </w:pPr>
          </w:p>
        </w:tc>
        <w:tc>
          <w:tcPr>
            <w:tcW w:w="428" w:type="pct"/>
            <w:shd w:val="clear" w:color="FFFFFF" w:fill="auto"/>
          </w:tcPr>
          <w:p w:rsidR="00176C73" w:rsidRPr="0058194D" w:rsidRDefault="00176C73" w:rsidP="00763F3D">
            <w:pPr>
              <w:spacing w:after="0" w:line="240" w:lineRule="auto"/>
              <w:jc w:val="center"/>
              <w:rPr>
                <w:rFonts w:ascii="Times New Roman" w:eastAsia="Calibri" w:hAnsi="Times New Roman" w:cs="Times New Roman"/>
                <w:b/>
                <w:sz w:val="18"/>
                <w:szCs w:val="18"/>
              </w:rPr>
            </w:pPr>
            <w:r w:rsidRPr="0058194D">
              <w:rPr>
                <w:rFonts w:ascii="Times New Roman" w:eastAsia="Calibri" w:hAnsi="Times New Roman" w:cs="Times New Roman"/>
                <w:b/>
                <w:sz w:val="18"/>
                <w:szCs w:val="18"/>
              </w:rPr>
              <w:t>Товарный знак:</w:t>
            </w:r>
          </w:p>
        </w:tc>
        <w:tc>
          <w:tcPr>
            <w:tcW w:w="511" w:type="pc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 xml:space="preserve">Наименование </w:t>
            </w:r>
          </w:p>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характеристики</w:t>
            </w:r>
          </w:p>
        </w:tc>
        <w:tc>
          <w:tcPr>
            <w:tcW w:w="618" w:type="pc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Значение характеристики</w:t>
            </w:r>
          </w:p>
          <w:p w:rsidR="00176C73" w:rsidRPr="006939EF" w:rsidRDefault="00176C73" w:rsidP="00763F3D">
            <w:pPr>
              <w:spacing w:after="0" w:line="240" w:lineRule="auto"/>
              <w:jc w:val="center"/>
              <w:rPr>
                <w:rFonts w:ascii="Times New Roman" w:eastAsia="Calibri" w:hAnsi="Times New Roman" w:cs="Times New Roman"/>
                <w:b/>
                <w:sz w:val="18"/>
                <w:szCs w:val="18"/>
              </w:rPr>
            </w:pPr>
          </w:p>
        </w:tc>
        <w:tc>
          <w:tcPr>
            <w:tcW w:w="233" w:type="pc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Ед.</w:t>
            </w:r>
          </w:p>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изм.</w:t>
            </w:r>
          </w:p>
        </w:tc>
        <w:tc>
          <w:tcPr>
            <w:tcW w:w="511" w:type="pc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Инструкция по заполнению характеристик в заявке</w:t>
            </w:r>
          </w:p>
        </w:tc>
        <w:tc>
          <w:tcPr>
            <w:tcW w:w="285" w:type="pct"/>
            <w:vMerge w:val="restar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упак</w:t>
            </w:r>
          </w:p>
        </w:tc>
        <w:tc>
          <w:tcPr>
            <w:tcW w:w="225" w:type="pct"/>
            <w:vMerge w:val="restart"/>
            <w:shd w:val="clear" w:color="FFFFFF" w:fill="auto"/>
          </w:tcPr>
          <w:p w:rsidR="00176C73" w:rsidRPr="006939EF" w:rsidRDefault="00176C73" w:rsidP="00763F3D">
            <w:pPr>
              <w:spacing w:after="0" w:line="240" w:lineRule="auto"/>
              <w:jc w:val="center"/>
              <w:rPr>
                <w:rFonts w:ascii="Times New Roman" w:eastAsia="Calibri" w:hAnsi="Times New Roman" w:cs="Times New Roman"/>
                <w:b/>
                <w:sz w:val="18"/>
                <w:szCs w:val="18"/>
              </w:rPr>
            </w:pPr>
            <w:r>
              <w:rPr>
                <w:rFonts w:ascii="Times New Roman" w:eastAsia="Calibri" w:hAnsi="Times New Roman" w:cs="Times New Roman"/>
                <w:b/>
                <w:sz w:val="18"/>
                <w:szCs w:val="18"/>
              </w:rPr>
              <w:t>4</w:t>
            </w:r>
          </w:p>
        </w:tc>
        <w:tc>
          <w:tcPr>
            <w:tcW w:w="376" w:type="pct"/>
            <w:vMerge w:val="restart"/>
          </w:tcPr>
          <w:p w:rsidR="00176C73" w:rsidRPr="006939EF" w:rsidRDefault="00176C73" w:rsidP="00763F3D">
            <w:pPr>
              <w:jc w:val="center"/>
              <w:rPr>
                <w:rFonts w:ascii="Times New Roman" w:eastAsia="Calibri" w:hAnsi="Times New Roman" w:cs="Times New Roman"/>
                <w:b/>
                <w:sz w:val="18"/>
                <w:szCs w:val="18"/>
              </w:rPr>
            </w:pPr>
            <w:r w:rsidRPr="006939EF">
              <w:rPr>
                <w:rFonts w:ascii="Times New Roman" w:eastAsia="Calibri" w:hAnsi="Times New Roman" w:cs="Times New Roman"/>
                <w:b/>
                <w:sz w:val="18"/>
                <w:szCs w:val="18"/>
              </w:rPr>
              <w:t>21.20.23.113</w:t>
            </w:r>
          </w:p>
        </w:tc>
        <w:tc>
          <w:tcPr>
            <w:tcW w:w="285" w:type="pct"/>
            <w:vMerge w:val="restar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26" w:type="pct"/>
            <w:vMerge w:val="restar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79" w:type="pct"/>
            <w:vMerge w:val="restar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57" w:type="pct"/>
            <w:vMerge w:val="restart"/>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r>
      <w:tr w:rsidR="00820369" w:rsidRPr="007D049E" w:rsidTr="00820369">
        <w:tc>
          <w:tcPr>
            <w:tcW w:w="171"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596" w:type="pct"/>
            <w:vMerge/>
            <w:shd w:val="clear" w:color="FFFFFF" w:fill="auto"/>
          </w:tcPr>
          <w:p w:rsidR="00176C73" w:rsidRPr="007D049E" w:rsidRDefault="00176C73" w:rsidP="00763F3D">
            <w:pPr>
              <w:spacing w:after="0" w:line="240" w:lineRule="auto"/>
              <w:rPr>
                <w:rFonts w:ascii="Times New Roman" w:eastAsia="Calibri" w:hAnsi="Times New Roman" w:cs="Times New Roman"/>
                <w:sz w:val="18"/>
                <w:szCs w:val="18"/>
              </w:rPr>
            </w:pPr>
          </w:p>
        </w:tc>
        <w:tc>
          <w:tcPr>
            <w:tcW w:w="428" w:type="pct"/>
            <w:vMerge w:val="restart"/>
            <w:shd w:val="clear" w:color="FFFFFF" w:fill="auto"/>
          </w:tcPr>
          <w:p w:rsidR="00176C73" w:rsidRPr="0058194D" w:rsidRDefault="00176C73" w:rsidP="00763F3D">
            <w:pPr>
              <w:spacing w:after="0" w:line="240" w:lineRule="auto"/>
              <w:rPr>
                <w:rFonts w:ascii="Times New Roman" w:eastAsia="Calibri" w:hAnsi="Times New Roman" w:cs="Times New Roman"/>
                <w:sz w:val="18"/>
                <w:szCs w:val="18"/>
              </w:rPr>
            </w:pPr>
            <w:r w:rsidRPr="0058194D">
              <w:rPr>
                <w:rFonts w:ascii="Times New Roman" w:eastAsia="Calibri" w:hAnsi="Times New Roman" w:cs="Times New Roman"/>
                <w:sz w:val="18"/>
                <w:szCs w:val="18"/>
              </w:rPr>
              <w:t>«Сентискан, 99mTc» или эквивалент.</w:t>
            </w:r>
          </w:p>
        </w:tc>
        <w:tc>
          <w:tcPr>
            <w:tcW w:w="511" w:type="pct"/>
            <w:shd w:val="clear" w:color="FFFFFF" w:fill="auto"/>
          </w:tcPr>
          <w:p w:rsidR="00176C73" w:rsidRPr="007D049E" w:rsidRDefault="00176C73"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Назначение и область применения</w:t>
            </w:r>
          </w:p>
        </w:tc>
        <w:tc>
          <w:tcPr>
            <w:tcW w:w="618" w:type="pct"/>
            <w:shd w:val="clear" w:color="FFFFFF" w:fill="auto"/>
          </w:tcPr>
          <w:p w:rsidR="00176C73" w:rsidRPr="00B04C41" w:rsidRDefault="00176C73" w:rsidP="00763F3D">
            <w:pPr>
              <w:spacing w:after="0" w:line="240" w:lineRule="auto"/>
              <w:rPr>
                <w:rFonts w:ascii="Times New Roman" w:eastAsia="Calibri" w:hAnsi="Times New Roman" w:cs="Times New Roman"/>
                <w:sz w:val="18"/>
                <w:szCs w:val="18"/>
              </w:rPr>
            </w:pPr>
            <w:r w:rsidRPr="00B04C41">
              <w:rPr>
                <w:rFonts w:ascii="Times New Roman" w:eastAsia="Calibri" w:hAnsi="Times New Roman" w:cs="Times New Roman"/>
                <w:sz w:val="18"/>
                <w:szCs w:val="18"/>
              </w:rPr>
              <w:t>Лиофилизат для приготовления раствора для внутривенного введения.</w:t>
            </w:r>
          </w:p>
          <w:p w:rsidR="00176C73" w:rsidRPr="007D049E" w:rsidRDefault="00176C73" w:rsidP="00763F3D">
            <w:pPr>
              <w:spacing w:after="0" w:line="240" w:lineRule="auto"/>
              <w:rPr>
                <w:rFonts w:ascii="Times New Roman" w:eastAsia="Calibri" w:hAnsi="Times New Roman" w:cs="Times New Roman"/>
                <w:sz w:val="18"/>
                <w:szCs w:val="18"/>
              </w:rPr>
            </w:pPr>
            <w:r w:rsidRPr="00B04C41">
              <w:rPr>
                <w:rFonts w:ascii="Times New Roman" w:eastAsia="Calibri" w:hAnsi="Times New Roman" w:cs="Times New Roman"/>
                <w:sz w:val="18"/>
                <w:szCs w:val="18"/>
              </w:rPr>
              <w:t>Область применения: для сцинтиграфической визуализации и интраоперационной детекции сторожевых лимфатических узлов у пациентов со злокачественными новообразованиями молочной железы, слизистой полости рта, вульвы, полового члена, меланомы кожи.</w:t>
            </w:r>
          </w:p>
        </w:tc>
        <w:tc>
          <w:tcPr>
            <w:tcW w:w="233"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sz w:val="18"/>
                <w:szCs w:val="18"/>
              </w:rPr>
            </w:pPr>
          </w:p>
        </w:tc>
        <w:tc>
          <w:tcPr>
            <w:tcW w:w="511" w:type="pct"/>
            <w:shd w:val="clear" w:color="FFFFFF" w:fill="auto"/>
          </w:tcPr>
          <w:p w:rsidR="00176C73" w:rsidRPr="0013784A" w:rsidRDefault="00176C73" w:rsidP="00763F3D">
            <w:pPr>
              <w:spacing w:after="0" w:line="240" w:lineRule="auto"/>
              <w:rPr>
                <w:rFonts w:ascii="Times New Roman" w:hAnsi="Times New Roman" w:cs="Times New Roman"/>
                <w:sz w:val="18"/>
                <w:szCs w:val="18"/>
              </w:rPr>
            </w:pPr>
            <w:r w:rsidRPr="00B04C41">
              <w:rPr>
                <w:rFonts w:ascii="Times New Roman" w:hAnsi="Times New Roman" w:cs="Times New Roman"/>
                <w:sz w:val="18"/>
                <w:szCs w:val="18"/>
              </w:rPr>
              <w:t>Значение характеристики не може</w:t>
            </w:r>
            <w:r>
              <w:rPr>
                <w:rFonts w:ascii="Times New Roman" w:hAnsi="Times New Roman" w:cs="Times New Roman"/>
                <w:sz w:val="18"/>
                <w:szCs w:val="18"/>
              </w:rPr>
              <w:t>т изменяться участником закупки</w:t>
            </w:r>
          </w:p>
        </w:tc>
        <w:tc>
          <w:tcPr>
            <w:tcW w:w="285"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225"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376" w:type="pct"/>
            <w:vMerge/>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285"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26"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r>
      <w:tr w:rsidR="00820369" w:rsidRPr="007D049E" w:rsidTr="00820369">
        <w:tc>
          <w:tcPr>
            <w:tcW w:w="171"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596" w:type="pct"/>
            <w:vMerge/>
            <w:shd w:val="clear" w:color="FFFFFF" w:fill="auto"/>
          </w:tcPr>
          <w:p w:rsidR="00176C73" w:rsidRPr="007D049E" w:rsidRDefault="00176C73" w:rsidP="00763F3D">
            <w:pPr>
              <w:spacing w:after="0" w:line="240" w:lineRule="auto"/>
              <w:rPr>
                <w:rFonts w:ascii="Times New Roman" w:eastAsia="Calibri" w:hAnsi="Times New Roman" w:cs="Times New Roman"/>
                <w:sz w:val="18"/>
                <w:szCs w:val="18"/>
              </w:rPr>
            </w:pPr>
          </w:p>
        </w:tc>
        <w:tc>
          <w:tcPr>
            <w:tcW w:w="428" w:type="pct"/>
            <w:vMerge/>
            <w:shd w:val="clear" w:color="FFFFFF" w:fill="auto"/>
          </w:tcPr>
          <w:p w:rsidR="00176C73" w:rsidRDefault="00176C73" w:rsidP="00763F3D">
            <w:pPr>
              <w:spacing w:after="0" w:line="240" w:lineRule="auto"/>
              <w:rPr>
                <w:rFonts w:ascii="Times New Roman" w:eastAsia="Calibri" w:hAnsi="Times New Roman" w:cs="Times New Roman"/>
                <w:sz w:val="18"/>
                <w:szCs w:val="18"/>
              </w:rPr>
            </w:pPr>
          </w:p>
        </w:tc>
        <w:tc>
          <w:tcPr>
            <w:tcW w:w="511" w:type="pct"/>
            <w:shd w:val="clear" w:color="FFFFFF" w:fill="auto"/>
          </w:tcPr>
          <w:p w:rsidR="00176C73" w:rsidRPr="007D049E" w:rsidRDefault="00176C73" w:rsidP="00763F3D">
            <w:pPr>
              <w:spacing w:after="0" w:line="240" w:lineRule="auto"/>
              <w:rPr>
                <w:rFonts w:ascii="Times New Roman" w:eastAsia="Calibri" w:hAnsi="Times New Roman" w:cs="Times New Roman"/>
                <w:sz w:val="18"/>
                <w:szCs w:val="18"/>
              </w:rPr>
            </w:pPr>
            <w:r>
              <w:rPr>
                <w:rFonts w:ascii="Times New Roman" w:eastAsia="Calibri" w:hAnsi="Times New Roman" w:cs="Times New Roman"/>
                <w:sz w:val="18"/>
                <w:szCs w:val="18"/>
              </w:rPr>
              <w:t>Количество флаконов в одной упаковке</w:t>
            </w:r>
          </w:p>
        </w:tc>
        <w:tc>
          <w:tcPr>
            <w:tcW w:w="618"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 5</w:t>
            </w:r>
          </w:p>
        </w:tc>
        <w:tc>
          <w:tcPr>
            <w:tcW w:w="233" w:type="pct"/>
            <w:shd w:val="clear" w:color="FFFFFF" w:fill="auto"/>
          </w:tcPr>
          <w:p w:rsidR="00176C73" w:rsidRPr="007D049E" w:rsidRDefault="00176C73" w:rsidP="00763F3D">
            <w:pPr>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шт</w:t>
            </w:r>
          </w:p>
        </w:tc>
        <w:tc>
          <w:tcPr>
            <w:tcW w:w="511" w:type="pct"/>
            <w:shd w:val="clear" w:color="FFFFFF" w:fill="auto"/>
          </w:tcPr>
          <w:p w:rsidR="00176C73" w:rsidRPr="0013784A" w:rsidRDefault="00176C73" w:rsidP="00763F3D">
            <w:pPr>
              <w:spacing w:after="0" w:line="240" w:lineRule="auto"/>
              <w:rPr>
                <w:rFonts w:ascii="Times New Roman" w:hAnsi="Times New Roman" w:cs="Times New Roman"/>
                <w:sz w:val="18"/>
                <w:szCs w:val="18"/>
              </w:rPr>
            </w:pPr>
            <w:r w:rsidRPr="001337F9">
              <w:rPr>
                <w:rFonts w:ascii="Times New Roman" w:hAnsi="Times New Roman" w:cs="Times New Roman"/>
                <w:sz w:val="18"/>
                <w:szCs w:val="18"/>
              </w:rPr>
              <w:t>Участник закупки указывает в заявке конкретное значение характеристики</w:t>
            </w:r>
          </w:p>
        </w:tc>
        <w:tc>
          <w:tcPr>
            <w:tcW w:w="285"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225" w:type="pct"/>
            <w:vMerge/>
            <w:shd w:val="clear" w:color="FFFFFF" w:fill="auto"/>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376" w:type="pct"/>
            <w:vMerge/>
          </w:tcPr>
          <w:p w:rsidR="00176C73" w:rsidRPr="007D049E" w:rsidRDefault="00176C73" w:rsidP="00763F3D">
            <w:pPr>
              <w:spacing w:after="0" w:line="240" w:lineRule="auto"/>
              <w:jc w:val="center"/>
              <w:rPr>
                <w:rFonts w:ascii="Times New Roman" w:eastAsia="Calibri" w:hAnsi="Times New Roman" w:cs="Times New Roman"/>
                <w:b/>
                <w:sz w:val="18"/>
                <w:szCs w:val="18"/>
              </w:rPr>
            </w:pPr>
          </w:p>
        </w:tc>
        <w:tc>
          <w:tcPr>
            <w:tcW w:w="285"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26"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79"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c>
          <w:tcPr>
            <w:tcW w:w="257" w:type="pct"/>
            <w:vMerge/>
            <w:shd w:val="clear" w:color="auto" w:fill="FFFF99"/>
          </w:tcPr>
          <w:p w:rsidR="00176C73" w:rsidRPr="007D049E" w:rsidRDefault="00176C73" w:rsidP="00763F3D">
            <w:pPr>
              <w:spacing w:after="0" w:line="240" w:lineRule="auto"/>
              <w:jc w:val="center"/>
              <w:rPr>
                <w:rFonts w:ascii="Times New Roman" w:eastAsia="Times New Roman" w:hAnsi="Times New Roman" w:cs="Times New Roman"/>
                <w:b/>
                <w:sz w:val="18"/>
                <w:szCs w:val="18"/>
              </w:rPr>
            </w:pPr>
          </w:p>
        </w:tc>
      </w:tr>
    </w:tbl>
    <w:p w:rsidR="00170252" w:rsidRDefault="00170252" w:rsidP="000820E3">
      <w:pPr>
        <w:rPr>
          <w:rFonts w:ascii="Times New Roman" w:hAnsi="Times New Roman" w:cs="Times New Roman"/>
          <w:b/>
          <w:sz w:val="28"/>
          <w:szCs w:val="28"/>
        </w:rPr>
      </w:pPr>
    </w:p>
    <w:sectPr w:rsidR="00170252" w:rsidSect="00176C73">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782" w:rsidRDefault="00027782">
      <w:pPr>
        <w:spacing w:after="0" w:line="240" w:lineRule="auto"/>
      </w:pPr>
      <w:r>
        <w:separator/>
      </w:r>
    </w:p>
  </w:endnote>
  <w:endnote w:type="continuationSeparator" w:id="0">
    <w:p w:rsidR="00027782" w:rsidRDefault="00027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1E45" w:rsidRDefault="001E1E45">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1E45">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1E1E45">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1E1E45">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1E45">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1E1E45">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20369">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782" w:rsidRDefault="00027782">
      <w:pPr>
        <w:spacing w:after="0" w:line="240" w:lineRule="auto"/>
      </w:pPr>
      <w:r>
        <w:separator/>
      </w:r>
    </w:p>
  </w:footnote>
  <w:footnote w:type="continuationSeparator" w:id="0">
    <w:p w:rsidR="00027782" w:rsidRDefault="00027782">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1E45" w:rsidRDefault="001E1E45">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1E45" w:rsidRDefault="001E1E45">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1E1E45" w:rsidRDefault="001E1E45">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27782"/>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736"/>
    <w:rsid w:val="00153E43"/>
    <w:rsid w:val="0015409D"/>
    <w:rsid w:val="001570CF"/>
    <w:rsid w:val="001608FF"/>
    <w:rsid w:val="00162746"/>
    <w:rsid w:val="0016689A"/>
    <w:rsid w:val="00170252"/>
    <w:rsid w:val="00171C2D"/>
    <w:rsid w:val="00176C73"/>
    <w:rsid w:val="00180633"/>
    <w:rsid w:val="00182395"/>
    <w:rsid w:val="00185B41"/>
    <w:rsid w:val="0019152C"/>
    <w:rsid w:val="00192794"/>
    <w:rsid w:val="00195CA6"/>
    <w:rsid w:val="001B53BC"/>
    <w:rsid w:val="001B64CA"/>
    <w:rsid w:val="001C3568"/>
    <w:rsid w:val="001C3FE4"/>
    <w:rsid w:val="001E1E45"/>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0F2C"/>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0369"/>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885C7-F0F8-4E98-A131-9B0BCEC2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981</Words>
  <Characters>5595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2026-01-13T12:14:00Z</dcterms:created>
  <dcterms:modified xsi:type="dcterms:W3CDTF">2026-01-13T12:14:00Z</dcterms:modified>
</cp:coreProperties>
</file>