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05-07/689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9574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да</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432"/>
        <w:gridCol w:w="1105"/>
        <w:gridCol w:w="1346"/>
        <w:gridCol w:w="1442"/>
        <w:gridCol w:w="1219"/>
        <w:gridCol w:w="1285"/>
        <w:gridCol w:w="4195"/>
        <w:gridCol w:w="992"/>
        <w:gridCol w:w="708"/>
        <w:gridCol w:w="992"/>
        <w:gridCol w:w="708"/>
        <w:gridCol w:w="708"/>
        <w:gridCol w:w="817"/>
      </w:tblGrid>
      <w:tr w:rsidR="00D408E5" w:rsidRPr="00D408E5" w:rsidTr="00D408E5">
        <w:trPr>
          <w:trHeight w:val="402"/>
        </w:trPr>
        <w:tc>
          <w:tcPr>
            <w:tcW w:w="1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п/п</w:t>
            </w:r>
          </w:p>
        </w:tc>
        <w:tc>
          <w:tcPr>
            <w:tcW w:w="346" w:type="pct"/>
            <w:tcBorders>
              <w:top w:val="single" w:sz="8" w:space="0" w:color="auto"/>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ОКПД2/</w:t>
            </w:r>
          </w:p>
        </w:tc>
        <w:tc>
          <w:tcPr>
            <w:tcW w:w="4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Наименование</w:t>
            </w:r>
          </w:p>
        </w:tc>
        <w:tc>
          <w:tcPr>
            <w:tcW w:w="4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Наименование характеристики</w:t>
            </w:r>
          </w:p>
        </w:tc>
        <w:tc>
          <w:tcPr>
            <w:tcW w:w="38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Значение, установленное Заказчиком</w:t>
            </w:r>
          </w:p>
        </w:tc>
        <w:tc>
          <w:tcPr>
            <w:tcW w:w="4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Инструкция по заполнению характеристик в заявке</w:t>
            </w:r>
          </w:p>
        </w:tc>
        <w:tc>
          <w:tcPr>
            <w:tcW w:w="13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Обоснование</w:t>
            </w:r>
          </w:p>
        </w:tc>
        <w:tc>
          <w:tcPr>
            <w:tcW w:w="3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Ед. изм.</w:t>
            </w:r>
          </w:p>
        </w:tc>
        <w:tc>
          <w:tcPr>
            <w:tcW w:w="222" w:type="pct"/>
            <w:vMerge w:val="restart"/>
            <w:tcBorders>
              <w:top w:val="single" w:sz="8" w:space="0" w:color="auto"/>
              <w:left w:val="single" w:sz="8" w:space="0" w:color="auto"/>
              <w:bottom w:val="single" w:sz="8" w:space="0" w:color="000000"/>
              <w:right w:val="nil"/>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Кол-во</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Страна происхождения товара</w:t>
            </w:r>
          </w:p>
        </w:tc>
        <w:tc>
          <w:tcPr>
            <w:tcW w:w="22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Ставка НДС%</w:t>
            </w:r>
          </w:p>
        </w:tc>
        <w:tc>
          <w:tcPr>
            <w:tcW w:w="22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Цена за ед. без НДС</w:t>
            </w:r>
          </w:p>
        </w:tc>
        <w:tc>
          <w:tcPr>
            <w:tcW w:w="25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Сумма без НДС</w:t>
            </w:r>
          </w:p>
        </w:tc>
      </w:tr>
      <w:tr w:rsidR="00D408E5" w:rsidRPr="00D408E5" w:rsidTr="00D408E5">
        <w:trPr>
          <w:trHeight w:val="402"/>
        </w:trPr>
        <w:tc>
          <w:tcPr>
            <w:tcW w:w="135" w:type="pct"/>
            <w:vMerge/>
            <w:tcBorders>
              <w:top w:val="single" w:sz="8" w:space="0" w:color="auto"/>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КТРУ</w:t>
            </w:r>
          </w:p>
        </w:tc>
        <w:tc>
          <w:tcPr>
            <w:tcW w:w="422" w:type="pct"/>
            <w:vMerge/>
            <w:tcBorders>
              <w:top w:val="single" w:sz="8" w:space="0" w:color="auto"/>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single" w:sz="8" w:space="0" w:color="auto"/>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single" w:sz="8" w:space="0" w:color="auto"/>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vMerge/>
            <w:tcBorders>
              <w:top w:val="single" w:sz="8" w:space="0" w:color="auto"/>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1315" w:type="pct"/>
            <w:vMerge/>
            <w:tcBorders>
              <w:top w:val="single" w:sz="8" w:space="0" w:color="auto"/>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single" w:sz="8" w:space="0" w:color="auto"/>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single" w:sz="8" w:space="0" w:color="auto"/>
              <w:left w:val="single" w:sz="8" w:space="0" w:color="auto"/>
              <w:bottom w:val="single" w:sz="8" w:space="0" w:color="000000"/>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single" w:sz="4" w:space="0" w:color="auto"/>
              <w:left w:val="single" w:sz="4" w:space="0" w:color="auto"/>
              <w:bottom w:val="single" w:sz="4" w:space="0" w:color="000000"/>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105"/>
        </w:trPr>
        <w:tc>
          <w:tcPr>
            <w:tcW w:w="135"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jc w:val="right"/>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1</w:t>
            </w:r>
          </w:p>
        </w:tc>
        <w:tc>
          <w:tcPr>
            <w:tcW w:w="346"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32.50.50.190-00000313*</w:t>
            </w:r>
          </w:p>
        </w:tc>
        <w:tc>
          <w:tcPr>
            <w:tcW w:w="422"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Calibri" w:hAnsi="Times New Roman" w:cs="Times New Roman"/>
                <w:color w:val="000000"/>
                <w:sz w:val="18"/>
                <w:szCs w:val="18"/>
                <w:lang w:eastAsia="ru-RU"/>
              </w:rPr>
              <w:t>Средство гемостатическое хирургическое на основе полисахаридов растительного происхождения</w:t>
            </w:r>
          </w:p>
        </w:tc>
        <w:tc>
          <w:tcPr>
            <w:tcW w:w="452"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382"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1315"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311"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штука</w:t>
            </w:r>
          </w:p>
        </w:tc>
        <w:tc>
          <w:tcPr>
            <w:tcW w:w="222" w:type="pct"/>
            <w:vMerge w:val="restart"/>
            <w:tcBorders>
              <w:top w:val="nil"/>
              <w:left w:val="single" w:sz="8" w:space="0" w:color="auto"/>
              <w:bottom w:val="nil"/>
              <w:right w:val="nil"/>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300</w:t>
            </w:r>
          </w:p>
        </w:tc>
        <w:tc>
          <w:tcPr>
            <w:tcW w:w="311"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c>
          <w:tcPr>
            <w:tcW w:w="222"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c>
          <w:tcPr>
            <w:tcW w:w="222"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c>
          <w:tcPr>
            <w:tcW w:w="256"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Материал изготовления: 100 % окисленная регенерированная целлюлоза древесного происхождения</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Создает быстрый контакт с кровью, формируя гелеобразную массу и тромбы, что способствует остановке кровотечений</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Calibri" w:hAnsi="Times New Roman" w:cs="Times New Roman"/>
                <w:color w:val="000000"/>
                <w:sz w:val="18"/>
                <w:szCs w:val="18"/>
                <w:lang w:eastAsia="ru-RU"/>
              </w:rPr>
              <w:t>Вариант исполнения: представляет собой стерильную абсорбируемую вязаную ткань плотного плетения</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Возможность создания нужной формы и размера, в зависимости от характера операции</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Минимальный срок полного рассасывания 7 дней</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В течении данного промежутка времени материал полностью рассасывается в месте имплантации, не оставляя следов и не вызывая тканевой реакции</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Максимальный срок полного рассасывания 14 дней</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В течении данного промежутка времени материал полностью рассасывается в месте имплантации, не оставляя следов и не вызывая тканевой реакции</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Ширина, см</w:t>
            </w:r>
          </w:p>
        </w:tc>
        <w:tc>
          <w:tcPr>
            <w:tcW w:w="382"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xml:space="preserve">не менее 7,6 </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Участник закупки</w:t>
            </w:r>
          </w:p>
        </w:tc>
        <w:tc>
          <w:tcPr>
            <w:tcW w:w="1315"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Размер подбирается индивидуально, в зависимости от характера операции и позволяет эффективно использовать материал в операционном поле</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не более 7,8</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указывает в заявке</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tcBorders>
              <w:top w:val="nil"/>
              <w:left w:val="nil"/>
              <w:bottom w:val="single" w:sz="8" w:space="0" w:color="auto"/>
              <w:right w:val="single" w:sz="8" w:space="0" w:color="auto"/>
            </w:tcBorders>
            <w:shd w:val="clear" w:color="auto" w:fill="auto"/>
            <w:hideMark/>
          </w:tcPr>
          <w:p w:rsidR="00D408E5" w:rsidRPr="00D408E5" w:rsidRDefault="00D408E5" w:rsidP="00D408E5">
            <w:pPr>
              <w:spacing w:after="0" w:line="240" w:lineRule="auto"/>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конкретное значение характеристики</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Длина, см</w:t>
            </w:r>
          </w:p>
        </w:tc>
        <w:tc>
          <w:tcPr>
            <w:tcW w:w="38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не менее 10,2 не более 10,4</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Участник закупки</w:t>
            </w:r>
          </w:p>
        </w:tc>
        <w:tc>
          <w:tcPr>
            <w:tcW w:w="1315"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Размер подбирается индивидуально, в зависимости от характера операции и позволяет эффективно использовать материал в операционном поле</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указывает в заявке</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конкретное значение характеристики</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Уровень pH кислый</w:t>
            </w:r>
          </w:p>
        </w:tc>
        <w:tc>
          <w:tcPr>
            <w:tcW w:w="38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менее 3,6</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Участник закупки</w:t>
            </w:r>
          </w:p>
        </w:tc>
        <w:tc>
          <w:tcPr>
            <w:tcW w:w="1315"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Необходимо для процесса ускорения свертываемости крови, наличие антибактериального эффекта</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указывает в заявке</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конкретное значение характеристики</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Минимальное время гемостаза 2 минуты</w:t>
            </w:r>
          </w:p>
        </w:tc>
        <w:tc>
          <w:tcPr>
            <w:tcW w:w="38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Участник закупки</w:t>
            </w:r>
          </w:p>
        </w:tc>
        <w:tc>
          <w:tcPr>
            <w:tcW w:w="1315"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Необходимо для быстрой остановки кровотечения и уменьшение кровопотери во время операций</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указывает в заявке</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конкретное значение характеристики</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Максимальное время гемостаза 3 минуты</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Необходимо для быстрой остановки кровотечения и уменьшение кровопотери во время операций</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Инструкция содержит пошаговое схематическое руководство по применению при эндоскопических процедурах в виде изображений</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Показывает последовательный способ применения</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210"/>
        </w:trPr>
        <w:tc>
          <w:tcPr>
            <w:tcW w:w="135"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jc w:val="right"/>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2</w:t>
            </w:r>
          </w:p>
        </w:tc>
        <w:tc>
          <w:tcPr>
            <w:tcW w:w="346"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32.50.50.190-00000313*</w:t>
            </w:r>
          </w:p>
        </w:tc>
        <w:tc>
          <w:tcPr>
            <w:tcW w:w="422"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Calibri" w:hAnsi="Times New Roman" w:cs="Times New Roman"/>
                <w:color w:val="000000"/>
                <w:sz w:val="18"/>
                <w:szCs w:val="18"/>
                <w:lang w:eastAsia="ru-RU"/>
              </w:rPr>
              <w:t>Средство гемостатическое хирургическое на основе полисахаридов растительного происхождения</w:t>
            </w:r>
          </w:p>
        </w:tc>
        <w:tc>
          <w:tcPr>
            <w:tcW w:w="452"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382"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1315"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311"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штука</w:t>
            </w:r>
          </w:p>
        </w:tc>
        <w:tc>
          <w:tcPr>
            <w:tcW w:w="222" w:type="pct"/>
            <w:vMerge w:val="restart"/>
            <w:tcBorders>
              <w:top w:val="nil"/>
              <w:left w:val="single" w:sz="8" w:space="0" w:color="auto"/>
              <w:bottom w:val="nil"/>
              <w:right w:val="nil"/>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210</w:t>
            </w:r>
          </w:p>
        </w:tc>
        <w:tc>
          <w:tcPr>
            <w:tcW w:w="311"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c>
          <w:tcPr>
            <w:tcW w:w="222"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c>
          <w:tcPr>
            <w:tcW w:w="222"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c>
          <w:tcPr>
            <w:tcW w:w="256"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Материал изготовления: 100 % окисленная регенерированная целлюлоза древесного происхождения</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Создает быстрый контакт с кровью, формируя гелеобразную массу и тромбы, что способствует остановке кровотечений</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Calibri" w:hAnsi="Times New Roman" w:cs="Times New Roman"/>
                <w:color w:val="000000"/>
                <w:sz w:val="18"/>
                <w:szCs w:val="18"/>
                <w:lang w:eastAsia="ru-RU"/>
              </w:rPr>
              <w:t>Вариант исполнения: стерильная семислойная волокнистая структура</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Возможность создания нужной формы и размера, в зависимости от характера операции</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Минимальный срок полного рассасывания 7 дней</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В течении данного промежутка времени материал полностью рассасывается в месте имплантации, не оставляя следов и не вызывая тканевой реакции</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Максимальный срок полного рассасывания 14 дней</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В течении данного промежутка времени материал полностью рассасывается в месте имплантации, не оставляя следов и не вызывая тканевой реакции</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Ширина, см</w:t>
            </w:r>
          </w:p>
        </w:tc>
        <w:tc>
          <w:tcPr>
            <w:tcW w:w="38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не менее 10,2 не более 10,4</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Участник закупки</w:t>
            </w:r>
          </w:p>
        </w:tc>
        <w:tc>
          <w:tcPr>
            <w:tcW w:w="1315"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Размер подбирается индивидуально, в зависимости от характера операции и позволяет эффективно использовать материал в операционном поле</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указывает в заявке</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конкретное значение характеристики</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Длина, см</w:t>
            </w:r>
          </w:p>
        </w:tc>
        <w:tc>
          <w:tcPr>
            <w:tcW w:w="38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не менее 10,2 не более 10,4</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Участник закупки</w:t>
            </w:r>
          </w:p>
        </w:tc>
        <w:tc>
          <w:tcPr>
            <w:tcW w:w="1315"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Размер подбирается индивидуально, в зависимости от характера операции и позволяет эффективно использовать материал в операционном поле</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указывает в заявке</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конкретное значение характеристики</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Уровень pH кислый</w:t>
            </w:r>
          </w:p>
        </w:tc>
        <w:tc>
          <w:tcPr>
            <w:tcW w:w="38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менее 3,6</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Участник закупки</w:t>
            </w:r>
          </w:p>
        </w:tc>
        <w:tc>
          <w:tcPr>
            <w:tcW w:w="1315"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Необходимо для процесса ускорения свертываемости крови, наличие антибактериального эффекта</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указывает в заявке</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конкретное значение характеристики</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Минимальное время гемостаза 2 минуты</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Необходимо для быстрой остановки кровотечения и уменьшение кровопотери во время операций</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Максимальное время гемостаза 3 минуты</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Необходимо для быстрой остановки кровотечения и уменьшение кровопотери во время операций</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Инструкция содержит пошаговое схематическое руководство по применению при эндоскопических процедурах в виде изображений</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Показывает последовательный способ применения</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255"/>
        </w:trPr>
        <w:tc>
          <w:tcPr>
            <w:tcW w:w="135"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jc w:val="right"/>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3</w:t>
            </w:r>
          </w:p>
        </w:tc>
        <w:tc>
          <w:tcPr>
            <w:tcW w:w="346"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32.50.50.190-00000313*</w:t>
            </w:r>
          </w:p>
        </w:tc>
        <w:tc>
          <w:tcPr>
            <w:tcW w:w="422"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Calibri" w:hAnsi="Times New Roman" w:cs="Times New Roman"/>
                <w:color w:val="000000"/>
                <w:sz w:val="18"/>
                <w:szCs w:val="18"/>
                <w:lang w:eastAsia="ru-RU"/>
              </w:rPr>
              <w:t>Средство гемостатическое хирургическое на основе полисахаридов растительного происхождения</w:t>
            </w:r>
          </w:p>
        </w:tc>
        <w:tc>
          <w:tcPr>
            <w:tcW w:w="452"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382"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1315"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 </w:t>
            </w:r>
          </w:p>
        </w:tc>
        <w:tc>
          <w:tcPr>
            <w:tcW w:w="311" w:type="pct"/>
            <w:vMerge w:val="restart"/>
            <w:tcBorders>
              <w:top w:val="nil"/>
              <w:left w:val="single" w:sz="8" w:space="0" w:color="auto"/>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штука</w:t>
            </w:r>
          </w:p>
        </w:tc>
        <w:tc>
          <w:tcPr>
            <w:tcW w:w="222" w:type="pct"/>
            <w:vMerge w:val="restart"/>
            <w:tcBorders>
              <w:top w:val="nil"/>
              <w:left w:val="single" w:sz="8" w:space="0" w:color="auto"/>
              <w:bottom w:val="nil"/>
              <w:right w:val="nil"/>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300</w:t>
            </w:r>
          </w:p>
        </w:tc>
        <w:tc>
          <w:tcPr>
            <w:tcW w:w="311"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c>
          <w:tcPr>
            <w:tcW w:w="222"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c>
          <w:tcPr>
            <w:tcW w:w="222"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c>
          <w:tcPr>
            <w:tcW w:w="256" w:type="pct"/>
            <w:vMerge w:val="restart"/>
            <w:tcBorders>
              <w:top w:val="nil"/>
              <w:left w:val="single" w:sz="4" w:space="0" w:color="auto"/>
              <w:bottom w:val="nil"/>
              <w:right w:val="single" w:sz="4" w:space="0" w:color="auto"/>
            </w:tcBorders>
            <w:shd w:val="clear" w:color="auto" w:fill="auto"/>
            <w:noWrap/>
            <w:vAlign w:val="bottom"/>
            <w:hideMark/>
          </w:tcPr>
          <w:p w:rsidR="00D408E5" w:rsidRPr="00D408E5" w:rsidRDefault="00D408E5" w:rsidP="00D408E5">
            <w:pPr>
              <w:spacing w:after="0" w:line="240" w:lineRule="auto"/>
              <w:jc w:val="center"/>
              <w:rPr>
                <w:rFonts w:ascii="Calibri" w:eastAsia="Times New Roman" w:hAnsi="Calibri" w:cs="Times New Roman"/>
                <w:color w:val="000000"/>
                <w:lang w:eastAsia="ru-RU"/>
              </w:rPr>
            </w:pPr>
            <w:r w:rsidRPr="00D408E5">
              <w:rPr>
                <w:rFonts w:ascii="Calibri" w:eastAsia="Times New Roman" w:hAnsi="Calibri" w:cs="Times New Roman"/>
                <w:color w:val="000000"/>
                <w:lang w:eastAsia="ru-RU"/>
              </w:rPr>
              <w:t> </w:t>
            </w: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Материал изготовления: 100 % окисленная регенерированная целлюлоза древесного происхождения</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Создает быстрый контакт с кровью, формируя гелеобразную массу и тромбы, что способствует остановке кровотечений</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Вариант исполнения: стерильная семислойная волокнистая структура</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Возможность создания нужной формы и размера, в зависимости от характера операции</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Минимальный срок полного рассасывания 7 дней</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В течении данного промежутка времени материал полностью рассасывается в месте имплантации, не оставляя следов и не вызывая тканевой реакции</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Максимальный срок полного рассасывания 14 дней</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В течении данного промежутка времени материал полностью рассасывается в месте имплантации, не оставляя следов и не вызывая тканевой реакции</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Ширина, см</w:t>
            </w:r>
          </w:p>
        </w:tc>
        <w:tc>
          <w:tcPr>
            <w:tcW w:w="38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не менее 5,1 не более 5,3</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Участник закупки</w:t>
            </w:r>
          </w:p>
        </w:tc>
        <w:tc>
          <w:tcPr>
            <w:tcW w:w="1315"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Размер подбирается индивидуально, в зависимости от характера операции и позволяет эффективно использовать материал в операционном поле</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указывает в заявке</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конкретное значение характеристики</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Длина, см</w:t>
            </w:r>
          </w:p>
        </w:tc>
        <w:tc>
          <w:tcPr>
            <w:tcW w:w="38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не менее 10,2 не более 10,4</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Участник закупки</w:t>
            </w:r>
          </w:p>
        </w:tc>
        <w:tc>
          <w:tcPr>
            <w:tcW w:w="1315"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Размер подбирается индивидуально, в зависимости от характера операции и позволяет эффективно использовать материал в операционном поле</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указывает в заявке</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конкретное значение характеристики</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Уровень pH кислый</w:t>
            </w:r>
          </w:p>
        </w:tc>
        <w:tc>
          <w:tcPr>
            <w:tcW w:w="382"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менее 3,6</w:t>
            </w: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Участник закупки</w:t>
            </w:r>
          </w:p>
        </w:tc>
        <w:tc>
          <w:tcPr>
            <w:tcW w:w="1315" w:type="pct"/>
            <w:vMerge w:val="restart"/>
            <w:tcBorders>
              <w:top w:val="nil"/>
              <w:left w:val="single" w:sz="8" w:space="0" w:color="auto"/>
              <w:bottom w:val="single" w:sz="8" w:space="0" w:color="000000"/>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Необходимо для процесса ускорения свертываемости крови, наличие антибактериального эффекта</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nil"/>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themeColor="text1"/>
                <w:sz w:val="18"/>
                <w:szCs w:val="18"/>
                <w:lang w:eastAsia="ru-RU"/>
              </w:rPr>
              <w:t>указывает в заявке</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82"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конкретное значение характеристики</w:t>
            </w:r>
          </w:p>
        </w:tc>
        <w:tc>
          <w:tcPr>
            <w:tcW w:w="1315" w:type="pct"/>
            <w:vMerge/>
            <w:tcBorders>
              <w:top w:val="nil"/>
              <w:left w:val="single" w:sz="8" w:space="0" w:color="auto"/>
              <w:bottom w:val="single" w:sz="8" w:space="0" w:color="000000"/>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Минимальное время гемостаза 2 минуты</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Необходимо для быстрой остановки кровотечения и уменьшение кровопотери во время операций</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Максимальное время гемостаза 3 минуты</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Необходимо для быстрой остановки кровотечения и уменьшение кровопотери во время операций</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r w:rsidR="00D408E5" w:rsidRPr="00D408E5" w:rsidTr="00D408E5">
        <w:trPr>
          <w:trHeight w:val="402"/>
        </w:trPr>
        <w:tc>
          <w:tcPr>
            <w:tcW w:w="135"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46"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22"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45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Инструкция содержит пошаговое схематическое руководство по применению при эндоскопических процедурах в виде изображений</w:t>
            </w:r>
          </w:p>
        </w:tc>
        <w:tc>
          <w:tcPr>
            <w:tcW w:w="382"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соответствие</w:t>
            </w:r>
          </w:p>
        </w:tc>
        <w:tc>
          <w:tcPr>
            <w:tcW w:w="403"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1315" w:type="pct"/>
            <w:tcBorders>
              <w:top w:val="nil"/>
              <w:left w:val="nil"/>
              <w:bottom w:val="single" w:sz="8" w:space="0" w:color="auto"/>
              <w:right w:val="single" w:sz="8" w:space="0" w:color="auto"/>
            </w:tcBorders>
            <w:shd w:val="clear" w:color="auto" w:fill="auto"/>
            <w:vAlign w:val="center"/>
            <w:hideMark/>
          </w:tcPr>
          <w:p w:rsidR="00D408E5" w:rsidRPr="00D408E5" w:rsidRDefault="00D408E5" w:rsidP="00D408E5">
            <w:pPr>
              <w:spacing w:after="0" w:line="240" w:lineRule="auto"/>
              <w:jc w:val="center"/>
              <w:rPr>
                <w:rFonts w:ascii="Times New Roman" w:eastAsia="Times New Roman" w:hAnsi="Times New Roman" w:cs="Times New Roman"/>
                <w:color w:val="000000"/>
                <w:sz w:val="18"/>
                <w:szCs w:val="18"/>
                <w:lang w:eastAsia="ru-RU"/>
              </w:rPr>
            </w:pPr>
            <w:r w:rsidRPr="00D408E5">
              <w:rPr>
                <w:rFonts w:ascii="Times New Roman" w:eastAsia="Times New Roman" w:hAnsi="Times New Roman" w:cs="Times New Roman"/>
                <w:color w:val="000000"/>
                <w:sz w:val="18"/>
                <w:szCs w:val="18"/>
                <w:lang w:eastAsia="ru-RU"/>
              </w:rPr>
              <w:t>Показывает последовательный способ применения</w:t>
            </w:r>
          </w:p>
        </w:tc>
        <w:tc>
          <w:tcPr>
            <w:tcW w:w="311" w:type="pct"/>
            <w:vMerge/>
            <w:tcBorders>
              <w:top w:val="nil"/>
              <w:left w:val="single" w:sz="8" w:space="0" w:color="auto"/>
              <w:bottom w:val="nil"/>
              <w:right w:val="single" w:sz="8" w:space="0" w:color="auto"/>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222" w:type="pct"/>
            <w:vMerge/>
            <w:tcBorders>
              <w:top w:val="nil"/>
              <w:left w:val="single" w:sz="8" w:space="0" w:color="auto"/>
              <w:bottom w:val="nil"/>
              <w:right w:val="nil"/>
            </w:tcBorders>
            <w:vAlign w:val="center"/>
            <w:hideMark/>
          </w:tcPr>
          <w:p w:rsidR="00D408E5" w:rsidRPr="00D408E5" w:rsidRDefault="00D408E5" w:rsidP="00D408E5">
            <w:pPr>
              <w:spacing w:after="0" w:line="240" w:lineRule="auto"/>
              <w:rPr>
                <w:rFonts w:ascii="Times New Roman" w:eastAsia="Times New Roman" w:hAnsi="Times New Roman" w:cs="Times New Roman"/>
                <w:color w:val="000000"/>
                <w:sz w:val="18"/>
                <w:szCs w:val="18"/>
                <w:lang w:eastAsia="ru-RU"/>
              </w:rPr>
            </w:pPr>
          </w:p>
        </w:tc>
        <w:tc>
          <w:tcPr>
            <w:tcW w:w="311"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c>
          <w:tcPr>
            <w:tcW w:w="256" w:type="pct"/>
            <w:vMerge/>
            <w:tcBorders>
              <w:top w:val="nil"/>
              <w:left w:val="single" w:sz="4" w:space="0" w:color="auto"/>
              <w:bottom w:val="nil"/>
              <w:right w:val="single" w:sz="4" w:space="0" w:color="auto"/>
            </w:tcBorders>
            <w:vAlign w:val="center"/>
            <w:hideMark/>
          </w:tcPr>
          <w:p w:rsidR="00D408E5" w:rsidRPr="00D408E5" w:rsidRDefault="00D408E5" w:rsidP="00D408E5">
            <w:pPr>
              <w:spacing w:after="0" w:line="240" w:lineRule="auto"/>
              <w:rPr>
                <w:rFonts w:ascii="Calibri" w:eastAsia="Times New Roman" w:hAnsi="Calibri" w:cs="Times New Roman"/>
                <w:color w:val="000000"/>
                <w:lang w:eastAsia="ru-RU"/>
              </w:rPr>
            </w:pPr>
          </w:p>
        </w:tc>
      </w:tr>
    </w:tbl>
    <w:p w:rsidR="00D408E5" w:rsidRDefault="00D408E5" w:rsidP="00D408E5">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D408E5">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D408E5">
        <w:rPr>
          <w:rFonts w:ascii="Roboto" w:hAnsi="Roboto" w:cs="Roboto"/>
          <w:color w:val="333333"/>
          <w:highlight w:val="white"/>
        </w:rPr>
        <w:t xml:space="preserve"> </w:t>
      </w:r>
      <w:r>
        <w:rPr>
          <w:rFonts w:ascii="Calibri" w:hAnsi="Calibri" w:cs="Calibri"/>
          <w:color w:val="333333"/>
          <w:highlight w:val="white"/>
        </w:rPr>
        <w:t>России</w:t>
      </w:r>
      <w:r w:rsidRPr="00D408E5">
        <w:rPr>
          <w:rFonts w:ascii="Roboto" w:hAnsi="Roboto" w:cs="Roboto"/>
          <w:color w:val="333333"/>
          <w:highlight w:val="white"/>
        </w:rPr>
        <w:t xml:space="preserve"> </w:t>
      </w:r>
      <w:r>
        <w:rPr>
          <w:rFonts w:ascii="Calibri" w:hAnsi="Calibri" w:cs="Calibri"/>
          <w:color w:val="333333"/>
          <w:highlight w:val="white"/>
        </w:rPr>
        <w:t>от</w:t>
      </w:r>
      <w:r w:rsidRPr="00D408E5">
        <w:rPr>
          <w:rFonts w:ascii="Roboto" w:hAnsi="Roboto" w:cs="Roboto"/>
          <w:color w:val="333333"/>
          <w:highlight w:val="white"/>
        </w:rPr>
        <w:t xml:space="preserve"> 24 </w:t>
      </w:r>
      <w:r>
        <w:rPr>
          <w:rFonts w:ascii="Calibri" w:hAnsi="Calibri" w:cs="Calibri"/>
          <w:color w:val="333333"/>
          <w:highlight w:val="white"/>
        </w:rPr>
        <w:t>января</w:t>
      </w:r>
      <w:r w:rsidRPr="00D408E5">
        <w:rPr>
          <w:rFonts w:ascii="Roboto" w:hAnsi="Roboto" w:cs="Roboto"/>
          <w:color w:val="333333"/>
          <w:highlight w:val="white"/>
        </w:rPr>
        <w:t xml:space="preserve"> 2022 </w:t>
      </w:r>
      <w:r>
        <w:rPr>
          <w:rFonts w:ascii="Calibri" w:hAnsi="Calibri" w:cs="Calibri"/>
          <w:color w:val="333333"/>
          <w:highlight w:val="white"/>
        </w:rPr>
        <w:t>г</w:t>
      </w:r>
      <w:r w:rsidRPr="00D408E5">
        <w:rPr>
          <w:rFonts w:ascii="Roboto" w:hAnsi="Roboto" w:cs="Roboto"/>
          <w:color w:val="333333"/>
          <w:highlight w:val="white"/>
        </w:rPr>
        <w:t xml:space="preserve">. </w:t>
      </w:r>
      <w:r>
        <w:rPr>
          <w:rFonts w:ascii="Roboto" w:hAnsi="Roboto" w:cs="Roboto"/>
          <w:color w:val="333333"/>
          <w:highlight w:val="white"/>
          <w:lang w:val="en-US"/>
        </w:rPr>
        <w:t>N</w:t>
      </w:r>
      <w:r w:rsidRPr="00D408E5">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D408E5">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D42" w:rsidRDefault="008A2D42">
      <w:pPr>
        <w:spacing w:after="0" w:line="240" w:lineRule="auto"/>
      </w:pPr>
      <w:r>
        <w:separator/>
      </w:r>
    </w:p>
  </w:endnote>
  <w:endnote w:type="continuationSeparator" w:id="0">
    <w:p w:rsidR="008A2D42" w:rsidRDefault="008A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00000201" w:usb1="00000000" w:usb2="00000000" w:usb3="00000000" w:csb0="00000004"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574C" w:rsidRDefault="0059574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9574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9574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9574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9574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408E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9574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408E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D42" w:rsidRDefault="008A2D42">
      <w:pPr>
        <w:spacing w:after="0" w:line="240" w:lineRule="auto"/>
      </w:pPr>
      <w:r>
        <w:separator/>
      </w:r>
    </w:p>
  </w:footnote>
  <w:footnote w:type="continuationSeparator" w:id="0">
    <w:p w:rsidR="008A2D42" w:rsidRDefault="008A2D4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574C" w:rsidRDefault="0059574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574C" w:rsidRDefault="0059574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9574C" w:rsidRDefault="0059574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9574C"/>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2D42"/>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08E5"/>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2688">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1FF77-E668-4047-ABFE-58AE0AAB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2161</Words>
  <Characters>12324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2026-04-02T10:59:00Z</dcterms:created>
  <dcterms:modified xsi:type="dcterms:W3CDTF">2026-04-02T10:59:00Z</dcterms:modified>
</cp:coreProperties>
</file>