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13.11.2025 № 05-07/2058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F09A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08.12.2025.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2"/>
        <w:gridCol w:w="1130"/>
        <w:gridCol w:w="827"/>
        <w:gridCol w:w="1092"/>
        <w:gridCol w:w="1210"/>
        <w:gridCol w:w="1290"/>
        <w:gridCol w:w="1021"/>
        <w:gridCol w:w="947"/>
        <w:gridCol w:w="872"/>
        <w:gridCol w:w="1237"/>
        <w:gridCol w:w="2146"/>
        <w:gridCol w:w="1141"/>
        <w:gridCol w:w="1436"/>
        <w:gridCol w:w="1188"/>
      </w:tblGrid>
      <w:tr w:rsidR="00D54486" w:rsidRPr="00095E6B" w:rsidTr="00D54486">
        <w:trPr>
          <w:trHeight w:val="402"/>
        </w:trPr>
        <w:tc>
          <w:tcPr>
            <w:tcW w:w="1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20"/>
                <w:szCs w:val="20"/>
                <w:lang w:eastAsia="ru-RU"/>
              </w:rPr>
            </w:pPr>
            <w:r w:rsidRPr="00095E6B">
              <w:rPr>
                <w:rFonts w:ascii="Times New Roman" w:eastAsia="Times New Roman" w:hAnsi="Times New Roman" w:cs="Times New Roman"/>
                <w:b/>
                <w:bCs/>
                <w:color w:val="000000"/>
                <w:sz w:val="20"/>
                <w:szCs w:val="20"/>
                <w:lang w:eastAsia="ru-RU"/>
              </w:rPr>
              <w:t>№ п/п</w:t>
            </w:r>
          </w:p>
        </w:tc>
        <w:tc>
          <w:tcPr>
            <w:tcW w:w="3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20"/>
                <w:szCs w:val="20"/>
                <w:lang w:eastAsia="ru-RU"/>
              </w:rPr>
            </w:pPr>
            <w:r w:rsidRPr="00095E6B">
              <w:rPr>
                <w:rFonts w:ascii="Times New Roman" w:eastAsia="Times New Roman" w:hAnsi="Times New Roman" w:cs="Times New Roman"/>
                <w:b/>
                <w:bCs/>
                <w:color w:val="000000"/>
                <w:sz w:val="20"/>
                <w:szCs w:val="20"/>
                <w:lang w:eastAsia="ru-RU"/>
              </w:rPr>
              <w:t>Наименование товара, работы, услуги</w:t>
            </w:r>
          </w:p>
        </w:tc>
        <w:tc>
          <w:tcPr>
            <w:tcW w:w="2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20"/>
                <w:szCs w:val="20"/>
                <w:lang w:eastAsia="ru-RU"/>
              </w:rPr>
            </w:pPr>
            <w:r w:rsidRPr="00095E6B">
              <w:rPr>
                <w:rFonts w:ascii="Times New Roman" w:eastAsia="Times New Roman" w:hAnsi="Times New Roman" w:cs="Times New Roman"/>
                <w:b/>
                <w:bCs/>
                <w:color w:val="000000"/>
                <w:sz w:val="20"/>
                <w:szCs w:val="20"/>
                <w:lang w:eastAsia="ru-RU"/>
              </w:rPr>
              <w:t>Код позиции</w:t>
            </w:r>
          </w:p>
        </w:tc>
        <w:tc>
          <w:tcPr>
            <w:tcW w:w="1446" w:type="pct"/>
            <w:gridSpan w:val="4"/>
            <w:tcBorders>
              <w:top w:val="single" w:sz="8" w:space="0" w:color="auto"/>
              <w:left w:val="nil"/>
              <w:bottom w:val="single" w:sz="8" w:space="0" w:color="auto"/>
              <w:right w:val="single" w:sz="8" w:space="0" w:color="000000"/>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20"/>
                <w:szCs w:val="20"/>
                <w:lang w:eastAsia="ru-RU"/>
              </w:rPr>
            </w:pPr>
            <w:r w:rsidRPr="00095E6B">
              <w:rPr>
                <w:rFonts w:ascii="Times New Roman" w:eastAsia="Times New Roman" w:hAnsi="Times New Roman" w:cs="Times New Roman"/>
                <w:b/>
                <w:bCs/>
                <w:color w:val="000000"/>
                <w:sz w:val="20"/>
                <w:szCs w:val="20"/>
                <w:lang w:eastAsia="ru-RU"/>
              </w:rPr>
              <w:t>Характеристики товара, работы, услуги</w:t>
            </w:r>
          </w:p>
        </w:tc>
        <w:tc>
          <w:tcPr>
            <w:tcW w:w="29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20"/>
                <w:szCs w:val="20"/>
                <w:lang w:eastAsia="ru-RU"/>
              </w:rPr>
            </w:pPr>
            <w:r w:rsidRPr="00095E6B">
              <w:rPr>
                <w:rFonts w:ascii="Times New Roman" w:eastAsia="Times New Roman" w:hAnsi="Times New Roman" w:cs="Times New Roman"/>
                <w:b/>
                <w:bCs/>
                <w:color w:val="000000"/>
                <w:sz w:val="20"/>
                <w:szCs w:val="20"/>
                <w:lang w:eastAsia="ru-RU"/>
              </w:rPr>
              <w:t>Количество (объем работы, услуги)</w:t>
            </w:r>
          </w:p>
        </w:tc>
        <w:tc>
          <w:tcPr>
            <w:tcW w:w="2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20"/>
                <w:szCs w:val="20"/>
                <w:lang w:eastAsia="ru-RU"/>
              </w:rPr>
            </w:pPr>
            <w:r w:rsidRPr="00095E6B">
              <w:rPr>
                <w:rFonts w:ascii="Times New Roman" w:eastAsia="Times New Roman" w:hAnsi="Times New Roman" w:cs="Times New Roman"/>
                <w:b/>
                <w:bCs/>
                <w:color w:val="000000"/>
                <w:sz w:val="20"/>
                <w:szCs w:val="20"/>
                <w:lang w:eastAsia="ru-RU"/>
              </w:rPr>
              <w:t>Единица измерения</w:t>
            </w:r>
          </w:p>
        </w:tc>
        <w:tc>
          <w:tcPr>
            <w:tcW w:w="652" w:type="pct"/>
            <w:vMerge w:val="restart"/>
            <w:tcBorders>
              <w:top w:val="single" w:sz="8" w:space="0" w:color="auto"/>
              <w:left w:val="single" w:sz="8" w:space="0" w:color="auto"/>
              <w:bottom w:val="single" w:sz="8" w:space="0" w:color="000000"/>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20"/>
                <w:szCs w:val="20"/>
                <w:lang w:eastAsia="ru-RU"/>
              </w:rPr>
            </w:pPr>
            <w:r w:rsidRPr="00095E6B">
              <w:rPr>
                <w:rFonts w:ascii="Times New Roman" w:eastAsia="Times New Roman" w:hAnsi="Times New Roman" w:cs="Times New Roman"/>
                <w:b/>
                <w:bCs/>
                <w:color w:val="000000"/>
                <w:sz w:val="20"/>
                <w:szCs w:val="20"/>
                <w:lang w:eastAsia="ru-RU"/>
              </w:rPr>
              <w:t>Обоснование включения дополнительной информации в сведения о товаре, работе, услуге</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Times New Roman" w:eastAsia="Times New Roman" w:hAnsi="Times New Roman" w:cs="Times New Roman"/>
                <w:b/>
                <w:color w:val="000000"/>
                <w:sz w:val="20"/>
                <w:szCs w:val="20"/>
                <w:lang w:eastAsia="ru-RU"/>
              </w:rPr>
            </w:pPr>
            <w:r w:rsidRPr="00095E6B">
              <w:rPr>
                <w:rFonts w:ascii="Times New Roman" w:eastAsia="Times New Roman" w:hAnsi="Times New Roman" w:cs="Times New Roman"/>
                <w:b/>
                <w:color w:val="000000"/>
                <w:sz w:val="20"/>
                <w:szCs w:val="20"/>
                <w:lang w:eastAsia="ru-RU"/>
              </w:rPr>
              <w:t>Страна происхождения Товара</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Times New Roman" w:eastAsia="Times New Roman" w:hAnsi="Times New Roman" w:cs="Times New Roman"/>
                <w:b/>
                <w:color w:val="000000"/>
                <w:sz w:val="20"/>
                <w:szCs w:val="20"/>
                <w:lang w:eastAsia="ru-RU"/>
              </w:rPr>
            </w:pPr>
            <w:r w:rsidRPr="00095E6B">
              <w:rPr>
                <w:rFonts w:ascii="Times New Roman" w:eastAsia="Times New Roman" w:hAnsi="Times New Roman" w:cs="Times New Roman"/>
                <w:b/>
                <w:color w:val="000000"/>
                <w:sz w:val="20"/>
                <w:szCs w:val="20"/>
                <w:lang w:eastAsia="ru-RU"/>
              </w:rPr>
              <w:t>Ставка НДС%</w:t>
            </w:r>
          </w:p>
        </w:tc>
        <w:tc>
          <w:tcPr>
            <w:tcW w:w="45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Times New Roman" w:eastAsia="Times New Roman" w:hAnsi="Times New Roman" w:cs="Times New Roman"/>
                <w:b/>
                <w:color w:val="000000"/>
                <w:sz w:val="20"/>
                <w:szCs w:val="20"/>
                <w:lang w:eastAsia="ru-RU"/>
              </w:rPr>
            </w:pPr>
            <w:r w:rsidRPr="00095E6B">
              <w:rPr>
                <w:rFonts w:ascii="Times New Roman" w:eastAsia="Times New Roman" w:hAnsi="Times New Roman" w:cs="Times New Roman"/>
                <w:b/>
                <w:color w:val="000000"/>
                <w:sz w:val="20"/>
                <w:szCs w:val="20"/>
                <w:lang w:eastAsia="ru-RU"/>
              </w:rPr>
              <w:t>Цена за ед. без НДС</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Times New Roman" w:eastAsia="Times New Roman" w:hAnsi="Times New Roman" w:cs="Times New Roman"/>
                <w:b/>
                <w:color w:val="000000"/>
                <w:sz w:val="20"/>
                <w:szCs w:val="20"/>
                <w:lang w:eastAsia="ru-RU"/>
              </w:rPr>
            </w:pPr>
            <w:r w:rsidRPr="00095E6B">
              <w:rPr>
                <w:rFonts w:ascii="Times New Roman" w:eastAsia="Times New Roman" w:hAnsi="Times New Roman" w:cs="Times New Roman"/>
                <w:b/>
                <w:color w:val="000000"/>
                <w:sz w:val="20"/>
                <w:szCs w:val="20"/>
                <w:lang w:eastAsia="ru-RU"/>
              </w:rPr>
              <w:t>Сумма без НДС</w:t>
            </w:r>
          </w:p>
        </w:tc>
      </w:tr>
      <w:tr w:rsidR="00D54486" w:rsidRPr="00095E6B" w:rsidTr="00D54486">
        <w:trPr>
          <w:trHeight w:val="402"/>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p>
        </w:tc>
        <w:tc>
          <w:tcPr>
            <w:tcW w:w="354" w:type="pct"/>
            <w:vMerge/>
            <w:tcBorders>
              <w:top w:val="single" w:sz="8" w:space="0" w:color="auto"/>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p>
        </w:tc>
        <w:tc>
          <w:tcPr>
            <w:tcW w:w="259" w:type="pct"/>
            <w:vMerge/>
            <w:tcBorders>
              <w:top w:val="single" w:sz="8" w:space="0" w:color="auto"/>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16"/>
                <w:szCs w:val="16"/>
                <w:lang w:eastAsia="ru-RU"/>
              </w:rPr>
            </w:pPr>
            <w:r w:rsidRPr="00095E6B">
              <w:rPr>
                <w:rFonts w:ascii="Times New Roman" w:eastAsia="Times New Roman" w:hAnsi="Times New Roman" w:cs="Times New Roman"/>
                <w:b/>
                <w:bCs/>
                <w:color w:val="000000"/>
                <w:sz w:val="16"/>
                <w:szCs w:val="16"/>
                <w:lang w:eastAsia="ru-RU"/>
              </w:rPr>
              <w:t>Наименование характеристики </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16"/>
                <w:szCs w:val="16"/>
                <w:lang w:eastAsia="ru-RU"/>
              </w:rPr>
            </w:pPr>
            <w:r w:rsidRPr="00095E6B">
              <w:rPr>
                <w:rFonts w:ascii="Times New Roman" w:eastAsia="Times New Roman" w:hAnsi="Times New Roman" w:cs="Times New Roman"/>
                <w:b/>
                <w:bCs/>
                <w:color w:val="000000"/>
                <w:sz w:val="16"/>
                <w:szCs w:val="16"/>
                <w:lang w:eastAsia="ru-RU"/>
              </w:rPr>
              <w:t>Значение характеристики</w:t>
            </w:r>
          </w:p>
        </w:tc>
        <w:tc>
          <w:tcPr>
            <w:tcW w:w="404"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16"/>
                <w:szCs w:val="16"/>
                <w:lang w:eastAsia="ru-RU"/>
              </w:rPr>
            </w:pPr>
            <w:r w:rsidRPr="00095E6B">
              <w:rPr>
                <w:rFonts w:ascii="Times New Roman" w:eastAsia="Times New Roman" w:hAnsi="Times New Roman" w:cs="Times New Roman"/>
                <w:b/>
                <w:bCs/>
                <w:color w:val="000000"/>
                <w:sz w:val="16"/>
                <w:szCs w:val="16"/>
                <w:lang w:eastAsia="ru-RU"/>
              </w:rPr>
              <w:t>Ед. изм-я хар-ки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b/>
                <w:bCs/>
                <w:color w:val="000000"/>
                <w:sz w:val="16"/>
                <w:szCs w:val="16"/>
                <w:lang w:eastAsia="ru-RU"/>
              </w:rPr>
            </w:pPr>
            <w:r w:rsidRPr="00095E6B">
              <w:rPr>
                <w:rFonts w:ascii="Times New Roman" w:eastAsia="Times New Roman" w:hAnsi="Times New Roman" w:cs="Times New Roman"/>
                <w:b/>
                <w:bCs/>
                <w:color w:val="000000"/>
                <w:sz w:val="16"/>
                <w:szCs w:val="16"/>
                <w:lang w:eastAsia="ru-RU"/>
              </w:rPr>
              <w:t>Инструкция по заполнению характеристики в заявке </w:t>
            </w:r>
          </w:p>
        </w:tc>
        <w:tc>
          <w:tcPr>
            <w:tcW w:w="297" w:type="pct"/>
            <w:vMerge/>
            <w:tcBorders>
              <w:top w:val="single" w:sz="8" w:space="0" w:color="auto"/>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p>
        </w:tc>
        <w:tc>
          <w:tcPr>
            <w:tcW w:w="273" w:type="pct"/>
            <w:vMerge/>
            <w:tcBorders>
              <w:top w:val="single" w:sz="8" w:space="0" w:color="auto"/>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p>
        </w:tc>
        <w:tc>
          <w:tcPr>
            <w:tcW w:w="652" w:type="pct"/>
            <w:vMerge/>
            <w:tcBorders>
              <w:top w:val="single" w:sz="8" w:space="0" w:color="auto"/>
              <w:left w:val="single" w:sz="8" w:space="0" w:color="auto"/>
              <w:bottom w:val="single" w:sz="8" w:space="0" w:color="000000"/>
              <w:right w:val="nil"/>
            </w:tcBorders>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single" w:sz="4" w:space="0" w:color="auto"/>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single" w:sz="4" w:space="0" w:color="auto"/>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single" w:sz="4" w:space="0" w:color="auto"/>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1.</w:t>
            </w:r>
          </w:p>
        </w:tc>
        <w:tc>
          <w:tcPr>
            <w:tcW w:w="354"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Питательная среда для клеточной культуры ИВД</w:t>
            </w:r>
          </w:p>
        </w:tc>
        <w:tc>
          <w:tcPr>
            <w:tcW w:w="259"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20.59.52.140-00000016*</w:t>
            </w: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r w:rsidRPr="00095E6B">
              <w:rPr>
                <w:rFonts w:ascii="Times New Roman" w:eastAsia="Times New Roman" w:hAnsi="Times New Roman" w:cs="Times New Roman"/>
                <w:b/>
                <w:bCs/>
                <w:color w:val="000000"/>
                <w:sz w:val="16"/>
                <w:szCs w:val="16"/>
                <w:lang w:eastAsia="ru-RU"/>
              </w:rPr>
              <w:t>Объем питательной среды</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450.00</w:t>
            </w:r>
          </w:p>
        </w:tc>
        <w:tc>
          <w:tcPr>
            <w:tcW w:w="404"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Кубический сантиметр;^миллилитр</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100</w:t>
            </w:r>
          </w:p>
        </w:tc>
        <w:tc>
          <w:tcPr>
            <w:tcW w:w="273"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упак</w:t>
            </w: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w:t>
            </w:r>
          </w:p>
        </w:tc>
        <w:tc>
          <w:tcPr>
            <w:tcW w:w="40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5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45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r w:rsidRPr="00095E6B">
              <w:rPr>
                <w:rFonts w:ascii="Times New Roman" w:eastAsia="Times New Roman" w:hAnsi="Times New Roman" w:cs="Times New Roman"/>
                <w:b/>
                <w:bCs/>
                <w:color w:val="000000"/>
                <w:sz w:val="16"/>
                <w:szCs w:val="16"/>
                <w:lang w:eastAsia="ru-RU"/>
              </w:rPr>
              <w:t>Форма выпуска</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Готовые к применению</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xml:space="preserve">Описание </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Питательная среда RPMI-1640 с L-глутамином, жидкая, без антибиотиков; для культивирования суспензионных культур клеток человека лейкоцитарного ряда</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определяется особенностями проводимых исследований и четко проработанными ранее методиками, дающими гарантированный необходимый результат исследования</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xml:space="preserve">Внешний вид </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прозрачная жидкость красновато-оранжевого цвета без опалесценции и осадка</w:t>
            </w:r>
          </w:p>
        </w:tc>
        <w:tc>
          <w:tcPr>
            <w:tcW w:w="404"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для визуального контроля микробиологической стабильности среды при хранении; для визуального контроля за ростом клеток и отслеживания уровня кислотности (рН) среды в процессе культивирования: изменение уровня прозрачности, появление опалесценции и осадка при хранении свидетельствует о снижении качества среды, цвет среды определяется наличием в её составе красителя фенолового красного (индикатора рН), при отклонении от оптимального уровня рН цвет среды изменяется (желтеет при низком уровне, становится пурпурным при высоком уровне).</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Стерильность</w:t>
            </w:r>
            <w:r w:rsidRPr="00095E6B">
              <w:rPr>
                <w:rFonts w:ascii="Times New Roman" w:eastAsia="Times New Roman" w:hAnsi="Times New Roman" w:cs="Times New Roman"/>
                <w:i/>
                <w:iCs/>
                <w:color w:val="000000"/>
                <w:sz w:val="16"/>
                <w:szCs w:val="16"/>
                <w:lang w:eastAsia="ru-RU"/>
              </w:rPr>
              <w:t xml:space="preserve"> </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стерильная, стерилизация через фильтры с размером пор 0,22 мкм</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в соответствии с рекомендованными протоколами исследований</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Диапазон pH</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7,1 - 7,5</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в соответствии с рекомендованными протоколами исследований</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Минимальная буферная емкость</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4,5</w:t>
            </w:r>
          </w:p>
        </w:tc>
        <w:tc>
          <w:tcPr>
            <w:tcW w:w="404"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миллилитр; кубический сантиметр</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определяется особенностями проводимых исследований и четко проработанными ранее методиками, дающими гарантированный необходимый результат исследования</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xml:space="preserve">Специфическая активность:для культур клеток Vero (B): формирование монослоя на 3-4 сутки </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соответствие</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определяется особенностями проводимых исследований и четко проработанными ранее методиками, дающими гарантированный необходимый результат исследования</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Специфическая активность: индекс пролиферации после 5 пассажа не менее 2,0</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соответствие</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определяется особенностями проводимых исследований и четко проработанными ранее методиками, дающими гарантированный необходимый результат исследования</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Упаковка</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прозрачный флакон с герметично завинчивающейся пластиковой крышкой</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для быстрого визуального отслеживания появления изменений внешнего вида среды (изменение цвета, помутнения, выпадение осадка), указывающих на ухудшение качественных характеристик</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2</w:t>
            </w:r>
          </w:p>
        </w:tc>
        <w:tc>
          <w:tcPr>
            <w:tcW w:w="354"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Питательная среда для ИВД</w:t>
            </w:r>
          </w:p>
        </w:tc>
        <w:tc>
          <w:tcPr>
            <w:tcW w:w="259"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20.59.52.140</w:t>
            </w: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xml:space="preserve">Описание </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Питательная среда для выделения стафилококков  сухая,  предназначена для обеспечение избирательного роста стафилококков с получением изолированных колоний для дальнейшей идентификации,  элективный солевой агар</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12</w:t>
            </w:r>
          </w:p>
        </w:tc>
        <w:tc>
          <w:tcPr>
            <w:tcW w:w="273"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упак</w:t>
            </w:r>
          </w:p>
        </w:tc>
        <w:tc>
          <w:tcPr>
            <w:tcW w:w="652" w:type="pct"/>
            <w:tcBorders>
              <w:top w:val="nil"/>
              <w:left w:val="nil"/>
              <w:bottom w:val="single" w:sz="8" w:space="0" w:color="auto"/>
              <w:right w:val="nil"/>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40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5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45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Компонентный состав, г/л</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ГМФ-основа  - 33.5, глюкоза  - 3.75, натрия хлорид  - 62.75, агар микробиологический  - 10.5+/- 0.5</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xml:space="preserve">Внешний вид </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мелкодисперсный порошок жёлтого цвета</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Полностью растворим  в дистиллированной воде при кипячении в течение 2 минут</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соответствие</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both"/>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Внешний вид раствора</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прозрачная жидкость желтого цвета, допускается слабая опалесценция</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both"/>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Стерильность</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нестерильная, подлежит стерилизации (пар под давлением, автоклав) в процессе приготовления готовой среды согласно инструкции по применению</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both"/>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Диапазон pH раствора</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7,0 - 7,6</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both"/>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Количество  реагента</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≥220 и ≤ 250</w:t>
            </w:r>
          </w:p>
        </w:tc>
        <w:tc>
          <w:tcPr>
            <w:tcW w:w="404"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грамм</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Упаковка</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банка из непрозрачного пластика с герметично завинчивающейся пластиковой крышкой</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both"/>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3</w:t>
            </w:r>
          </w:p>
        </w:tc>
        <w:tc>
          <w:tcPr>
            <w:tcW w:w="354"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Питательная среда для клеточной культуры ИВД</w:t>
            </w:r>
          </w:p>
        </w:tc>
        <w:tc>
          <w:tcPr>
            <w:tcW w:w="259"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20.59.52.140-00000016*</w:t>
            </w: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r w:rsidRPr="00095E6B">
              <w:rPr>
                <w:rFonts w:ascii="Times New Roman" w:eastAsia="Times New Roman" w:hAnsi="Times New Roman" w:cs="Times New Roman"/>
                <w:b/>
                <w:bCs/>
                <w:color w:val="000000"/>
                <w:sz w:val="16"/>
                <w:szCs w:val="16"/>
                <w:lang w:eastAsia="ru-RU"/>
              </w:rPr>
              <w:t>Объем питательной среды</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450.00</w:t>
            </w:r>
          </w:p>
        </w:tc>
        <w:tc>
          <w:tcPr>
            <w:tcW w:w="404"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Кубический сантиметр;^миллилитр</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100</w:t>
            </w:r>
          </w:p>
        </w:tc>
        <w:tc>
          <w:tcPr>
            <w:tcW w:w="273" w:type="pct"/>
            <w:vMerge w:val="restart"/>
            <w:tcBorders>
              <w:top w:val="nil"/>
              <w:left w:val="single" w:sz="8" w:space="0" w:color="auto"/>
              <w:bottom w:val="single" w:sz="8" w:space="0" w:color="000000"/>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упак</w:t>
            </w:r>
          </w:p>
        </w:tc>
        <w:tc>
          <w:tcPr>
            <w:tcW w:w="652" w:type="pct"/>
            <w:tcBorders>
              <w:top w:val="nil"/>
              <w:left w:val="nil"/>
              <w:bottom w:val="single" w:sz="8" w:space="0" w:color="auto"/>
              <w:right w:val="nil"/>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40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5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45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54486" w:rsidRPr="00095E6B" w:rsidRDefault="00D54486" w:rsidP="00DE2319">
            <w:pPr>
              <w:spacing w:after="0" w:line="240" w:lineRule="auto"/>
              <w:jc w:val="center"/>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b/>
                <w:bCs/>
                <w:color w:val="000000"/>
                <w:sz w:val="16"/>
                <w:szCs w:val="16"/>
                <w:lang w:eastAsia="ru-RU"/>
              </w:rPr>
            </w:pPr>
            <w:r w:rsidRPr="00095E6B">
              <w:rPr>
                <w:rFonts w:ascii="Times New Roman" w:eastAsia="Times New Roman" w:hAnsi="Times New Roman" w:cs="Times New Roman"/>
                <w:b/>
                <w:bCs/>
                <w:color w:val="000000"/>
                <w:sz w:val="16"/>
                <w:szCs w:val="16"/>
                <w:lang w:eastAsia="ru-RU"/>
              </w:rPr>
              <w:t>Форма выпуска</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Готовые к применению</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Описание</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Питательная среда DMEM с L-глутамином,  жидкая, без антибиотиков, глюкоза 4.5 г/л;  для культивирования широкого спектра монослойных культур клеток человека</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определяется особенностями проводимых исследований и четко проработанными ранее методиками, дающими гарантированный необходимый результат исследования</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Внешний вид</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прозрачная жидкость красновато-оранжевого цвета без опалесценции и осадка</w:t>
            </w:r>
          </w:p>
        </w:tc>
        <w:tc>
          <w:tcPr>
            <w:tcW w:w="404"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для визуального контроля микробиологической стабильности среды при хранении; для визуального контроля за ростом клеток и отслеживания уровня кислотности (рН) среды в процессе культивирования: изменение уровня прозрачности, появление опалесценции и осадка при хранении свидетельствует о снижении качества среды, цвет среды определяется наличием в её составе красителя фенолового красного (индикатора рН), при отклонении от оптимального уровня рН цвет среды изменяется (желтеет при низком уровне, становится пурпурным при высоком уровне).</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Стерильность</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стерильная, стерилизация через фильтры с размером пор 0,22 мкм</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в соответствии с рекомендованными протоколами исследований</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Диапазон pH</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7,1 - 7,5</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в соответствии с рекомендованными протоколами исследований</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Минимальная буферная емкость</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 7</w:t>
            </w:r>
          </w:p>
        </w:tc>
        <w:tc>
          <w:tcPr>
            <w:tcW w:w="404"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миллилитр; кубический сантиметр</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определяется особенностями проводимых исследований и четко проработанными ранее методиками, дающими гарантированный необходимый результат исследования</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Специфическая активность: для культур клеток типа М-22: формирование монослоя на 3-4 сутки</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соответствие</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определяется особенностями проводимых исследований и четко проработанными ранее методиками, дающими гарантированный необходимый результат исследования</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Специфическая активность: индекс пролиферации после 5 пассажа не менее 2,0</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соответствие</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определяется особенностями проводимых исследований и четко проработанными ранее методиками, дающими гарантированный необходимый результат исследования</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r w:rsidR="00D54486" w:rsidRPr="00095E6B" w:rsidTr="00D54486">
        <w:trPr>
          <w:trHeight w:val="402"/>
        </w:trPr>
        <w:tc>
          <w:tcPr>
            <w:tcW w:w="12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59"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342"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Упаковка</w:t>
            </w:r>
          </w:p>
        </w:tc>
        <w:tc>
          <w:tcPr>
            <w:tcW w:w="379"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прозрачный флакон с герметично завинчивающейся пластиковой крышкой</w:t>
            </w:r>
          </w:p>
        </w:tc>
        <w:tc>
          <w:tcPr>
            <w:tcW w:w="404" w:type="pct"/>
            <w:tcBorders>
              <w:top w:val="nil"/>
              <w:left w:val="nil"/>
              <w:bottom w:val="single" w:sz="8" w:space="0" w:color="auto"/>
              <w:right w:val="single" w:sz="8" w:space="0" w:color="auto"/>
            </w:tcBorders>
            <w:shd w:val="clear" w:color="auto" w:fill="auto"/>
            <w:hideMark/>
          </w:tcPr>
          <w:p w:rsidR="00D54486" w:rsidRPr="00095E6B" w:rsidRDefault="00D54486" w:rsidP="00DE2319">
            <w:pPr>
              <w:spacing w:after="0" w:line="240" w:lineRule="auto"/>
              <w:rPr>
                <w:rFonts w:ascii="Calibri" w:eastAsia="Times New Roman" w:hAnsi="Calibri" w:cs="Times New Roman"/>
                <w:color w:val="000000"/>
                <w:lang w:eastAsia="ru-RU"/>
              </w:rPr>
            </w:pPr>
            <w:r w:rsidRPr="00095E6B">
              <w:rPr>
                <w:rFonts w:ascii="Calibri" w:eastAsia="Times New Roman" w:hAnsi="Calibri" w:cs="Times New Roman"/>
                <w:color w:val="000000"/>
                <w:lang w:eastAsia="ru-RU"/>
              </w:rPr>
              <w:t> </w:t>
            </w:r>
          </w:p>
        </w:tc>
        <w:tc>
          <w:tcPr>
            <w:tcW w:w="320" w:type="pct"/>
            <w:tcBorders>
              <w:top w:val="nil"/>
              <w:left w:val="nil"/>
              <w:bottom w:val="single" w:sz="8" w:space="0" w:color="auto"/>
              <w:right w:val="single" w:sz="8" w:space="0" w:color="auto"/>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color w:val="000000"/>
                <w:sz w:val="16"/>
                <w:szCs w:val="16"/>
                <w:lang w:eastAsia="ru-RU"/>
              </w:rPr>
            </w:pPr>
            <w:r w:rsidRPr="00095E6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D54486" w:rsidRPr="00095E6B" w:rsidRDefault="00D54486" w:rsidP="00DE2319">
            <w:pPr>
              <w:spacing w:after="0" w:line="240" w:lineRule="auto"/>
              <w:rPr>
                <w:rFonts w:ascii="Times New Roman" w:eastAsia="Times New Roman" w:hAnsi="Times New Roman" w:cs="Times New Roman"/>
                <w:color w:val="000000"/>
                <w:sz w:val="16"/>
                <w:szCs w:val="16"/>
                <w:lang w:eastAsia="ru-RU"/>
              </w:rPr>
            </w:pPr>
          </w:p>
        </w:tc>
        <w:tc>
          <w:tcPr>
            <w:tcW w:w="652" w:type="pct"/>
            <w:tcBorders>
              <w:top w:val="nil"/>
              <w:left w:val="nil"/>
              <w:bottom w:val="single" w:sz="8" w:space="0" w:color="auto"/>
              <w:right w:val="nil"/>
            </w:tcBorders>
            <w:shd w:val="clear" w:color="auto" w:fill="auto"/>
            <w:vAlign w:val="center"/>
            <w:hideMark/>
          </w:tcPr>
          <w:p w:rsidR="00D54486" w:rsidRPr="00095E6B" w:rsidRDefault="00D54486" w:rsidP="00DE2319">
            <w:pPr>
              <w:spacing w:after="0" w:line="240" w:lineRule="auto"/>
              <w:jc w:val="center"/>
              <w:rPr>
                <w:rFonts w:ascii="Times New Roman" w:eastAsia="Times New Roman" w:hAnsi="Times New Roman" w:cs="Times New Roman"/>
                <w:i/>
                <w:iCs/>
                <w:color w:val="000000"/>
                <w:sz w:val="16"/>
                <w:szCs w:val="16"/>
                <w:lang w:eastAsia="ru-RU"/>
              </w:rPr>
            </w:pPr>
            <w:r w:rsidRPr="00095E6B">
              <w:rPr>
                <w:rFonts w:ascii="Times New Roman" w:eastAsia="Times New Roman" w:hAnsi="Times New Roman" w:cs="Times New Roman"/>
                <w:i/>
                <w:iCs/>
                <w:color w:val="000000"/>
                <w:sz w:val="16"/>
                <w:szCs w:val="16"/>
                <w:lang w:eastAsia="ru-RU"/>
              </w:rPr>
              <w:t>для быстрого визуального отслеживания появления изменений внешнего вида среды (изменение цвета, помутнения, выпадение осадка), указывающих на ухудшение качественных характеристик</w:t>
            </w:r>
          </w:p>
        </w:tc>
        <w:tc>
          <w:tcPr>
            <w:tcW w:w="40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58"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c>
          <w:tcPr>
            <w:tcW w:w="372" w:type="pct"/>
            <w:vMerge/>
            <w:tcBorders>
              <w:top w:val="nil"/>
              <w:left w:val="single" w:sz="4" w:space="0" w:color="auto"/>
              <w:bottom w:val="single" w:sz="4" w:space="0" w:color="000000"/>
              <w:right w:val="single" w:sz="4" w:space="0" w:color="auto"/>
            </w:tcBorders>
            <w:vAlign w:val="center"/>
            <w:hideMark/>
          </w:tcPr>
          <w:p w:rsidR="00D54486" w:rsidRPr="00095E6B" w:rsidRDefault="00D54486" w:rsidP="00DE2319">
            <w:pPr>
              <w:spacing w:after="0" w:line="240" w:lineRule="auto"/>
              <w:rPr>
                <w:rFonts w:ascii="Calibri" w:eastAsia="Times New Roman" w:hAnsi="Calibri" w:cs="Times New Roman"/>
                <w:color w:val="000000"/>
                <w:lang w:eastAsia="ru-RU"/>
              </w:rPr>
            </w:pPr>
          </w:p>
        </w:tc>
      </w:tr>
    </w:tbl>
    <w:p w:rsidR="00D54486" w:rsidRDefault="00D54486" w:rsidP="00E52880">
      <w:pPr>
        <w:pStyle w:val="a7"/>
        <w:widowControl w:val="0"/>
        <w:spacing w:after="0"/>
        <w:ind w:left="644"/>
        <w:jc w:val="center"/>
        <w:rPr>
          <w:rFonts w:ascii="Times New Roman" w:hAnsi="Times New Roman"/>
          <w:b/>
          <w:sz w:val="24"/>
          <w:szCs w:val="26"/>
        </w:rPr>
      </w:pPr>
    </w:p>
    <w:p w:rsidR="00D54486" w:rsidRDefault="00D54486" w:rsidP="00E52880">
      <w:pPr>
        <w:pStyle w:val="a7"/>
        <w:widowControl w:val="0"/>
        <w:spacing w:after="0"/>
        <w:ind w:left="644"/>
        <w:jc w:val="center"/>
        <w:rPr>
          <w:rFonts w:ascii="Times New Roman" w:hAnsi="Times New Roman"/>
          <w:b/>
          <w:sz w:val="24"/>
          <w:szCs w:val="26"/>
        </w:rPr>
      </w:pPr>
    </w:p>
    <w:p w:rsidR="00D54486" w:rsidRDefault="00D54486" w:rsidP="00E52880">
      <w:pPr>
        <w:pStyle w:val="a7"/>
        <w:widowControl w:val="0"/>
        <w:spacing w:after="0"/>
        <w:ind w:left="644"/>
        <w:jc w:val="center"/>
        <w:rPr>
          <w:rFonts w:ascii="Times New Roman" w:hAnsi="Times New Roman"/>
          <w:b/>
          <w:sz w:val="24"/>
          <w:szCs w:val="26"/>
        </w:rPr>
      </w:pPr>
    </w:p>
    <w:p w:rsidR="00D54486" w:rsidRDefault="00D54486" w:rsidP="00E52880">
      <w:pPr>
        <w:pStyle w:val="a7"/>
        <w:widowControl w:val="0"/>
        <w:spacing w:after="0"/>
        <w:ind w:left="644"/>
        <w:jc w:val="center"/>
        <w:rPr>
          <w:rFonts w:ascii="Times New Roman" w:hAnsi="Times New Roman"/>
          <w:b/>
          <w:sz w:val="24"/>
          <w:szCs w:val="26"/>
        </w:rPr>
      </w:pPr>
    </w:p>
    <w:p w:rsidR="00D54486" w:rsidRDefault="00D54486" w:rsidP="00E52880">
      <w:pPr>
        <w:pStyle w:val="a7"/>
        <w:widowControl w:val="0"/>
        <w:spacing w:after="0"/>
        <w:ind w:left="644"/>
        <w:jc w:val="center"/>
        <w:rPr>
          <w:rFonts w:ascii="Times New Roman" w:hAnsi="Times New Roman"/>
          <w:b/>
          <w:sz w:val="24"/>
          <w:szCs w:val="26"/>
        </w:rPr>
      </w:pPr>
    </w:p>
    <w:p w:rsidR="00D54486" w:rsidRPr="000437D6" w:rsidRDefault="00D54486" w:rsidP="00E52880">
      <w:pPr>
        <w:pStyle w:val="a7"/>
        <w:widowControl w:val="0"/>
        <w:spacing w:after="0"/>
        <w:ind w:left="644"/>
        <w:jc w:val="center"/>
        <w:rPr>
          <w:rFonts w:ascii="Times New Roman" w:eastAsia="Courier New" w:hAnsi="Times New Roman" w:cs="Times New Roman"/>
          <w:b/>
        </w:rPr>
      </w:pPr>
    </w:p>
    <w:p w:rsidR="00B30E2E" w:rsidRPr="006F1F00" w:rsidRDefault="00B30E2E" w:rsidP="00B30E2E">
      <w:pPr>
        <w:jc w:val="both"/>
        <w:rPr>
          <w:rFonts w:ascii="Times New Roman" w:hAnsi="Times New Roman" w:cs="Times New Roman"/>
          <w:b/>
          <w:i/>
        </w:rPr>
      </w:pPr>
      <w:r w:rsidRPr="006F1F00">
        <w:rPr>
          <w:rFonts w:ascii="Times New Roman" w:hAnsi="Times New Roman" w:cs="Times New Roman"/>
          <w:b/>
          <w:i/>
        </w:rPr>
        <w:t>* 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B30E2E" w:rsidRDefault="00B30E2E" w:rsidP="00B30E2E"/>
    <w:p w:rsidR="00170252" w:rsidRDefault="00170252" w:rsidP="000820E3">
      <w:pPr>
        <w:rPr>
          <w:rFonts w:ascii="Times New Roman" w:hAnsi="Times New Roman" w:cs="Times New Roman"/>
          <w:b/>
          <w:sz w:val="28"/>
          <w:szCs w:val="28"/>
        </w:rPr>
      </w:pPr>
    </w:p>
    <w:sectPr w:rsidR="00170252" w:rsidSect="00B30E2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218" w:rsidRDefault="002F4218">
      <w:pPr>
        <w:spacing w:after="0" w:line="240" w:lineRule="auto"/>
      </w:pPr>
      <w:r>
        <w:separator/>
      </w:r>
    </w:p>
  </w:endnote>
  <w:endnote w:type="continuationSeparator" w:id="0">
    <w:p w:rsidR="002F4218" w:rsidRDefault="002F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F09A9" w:rsidRDefault="001F09A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F09A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F09A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F09A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F09A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5448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F09A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5448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218" w:rsidRDefault="002F4218">
      <w:pPr>
        <w:spacing w:after="0" w:line="240" w:lineRule="auto"/>
      </w:pPr>
      <w:r>
        <w:separator/>
      </w:r>
    </w:p>
  </w:footnote>
  <w:footnote w:type="continuationSeparator" w:id="0">
    <w:p w:rsidR="002F4218" w:rsidRDefault="002F421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F09A9" w:rsidRDefault="001F09A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F09A9" w:rsidRDefault="001F09A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F09A9" w:rsidRDefault="001F09A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2C4F"/>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09A9"/>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4218"/>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0E2E"/>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4486"/>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31E8-F4E9-4D15-8A0B-B03AF750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2119</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2025-11-13T14:22:00Z</dcterms:created>
  <dcterms:modified xsi:type="dcterms:W3CDTF">2025-11-13T14:22:00Z</dcterms:modified>
</cp:coreProperties>
</file>