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25.06.2026 № 21.1-03/1360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247B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031B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услуги по обследованию электрического оборудования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позднее 20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031B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031B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031B9">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C7163A">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7163A" w:rsidRDefault="00C7163A" w:rsidP="00C7163A">
      <w:pPr>
        <w:pStyle w:val="a7"/>
        <w:widowControl w:val="0"/>
        <w:spacing w:after="0"/>
        <w:ind w:left="0"/>
        <w:jc w:val="center"/>
        <w:rPr>
          <w:rFonts w:ascii="Times New Roman" w:hAnsi="Times New Roman"/>
          <w:b/>
          <w:sz w:val="24"/>
          <w:szCs w:val="26"/>
        </w:rPr>
      </w:pPr>
    </w:p>
    <w:p w:rsidR="00C7163A" w:rsidRPr="00C7163A" w:rsidRDefault="00C7163A" w:rsidP="00C7163A">
      <w:pPr>
        <w:spacing w:after="0" w:line="240" w:lineRule="auto"/>
        <w:ind w:left="284" w:right="141"/>
        <w:contextualSpacing/>
        <w:jc w:val="center"/>
        <w:rPr>
          <w:rFonts w:ascii="Times New Roman" w:eastAsia="Calibri" w:hAnsi="Times New Roman" w:cs="Times New Roman"/>
          <w:b/>
          <w:bCs/>
        </w:rPr>
      </w:pPr>
      <w:r w:rsidRPr="00C7163A">
        <w:rPr>
          <w:rFonts w:ascii="Times New Roman" w:eastAsia="Calibri" w:hAnsi="Times New Roman" w:cs="Times New Roman"/>
          <w:b/>
          <w:bCs/>
        </w:rPr>
        <w:t>СПЕЦИФИКАЦИЯ</w:t>
      </w:r>
    </w:p>
    <w:tbl>
      <w:tblPr>
        <w:tblW w:w="472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4677"/>
        <w:gridCol w:w="1701"/>
        <w:gridCol w:w="1275"/>
        <w:gridCol w:w="1275"/>
        <w:gridCol w:w="1563"/>
      </w:tblGrid>
      <w:tr w:rsidR="00C7163A" w:rsidRPr="00C7163A" w:rsidTr="008F561F">
        <w:trPr>
          <w:trHeight w:val="163"/>
        </w:trPr>
        <w:tc>
          <w:tcPr>
            <w:tcW w:w="195" w:type="pct"/>
            <w:hideMark/>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w:t>
            </w:r>
          </w:p>
        </w:tc>
        <w:tc>
          <w:tcPr>
            <w:tcW w:w="2142" w:type="pct"/>
            <w:hideMark/>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Наименование оказываемых услуг</w:t>
            </w:r>
          </w:p>
        </w:tc>
        <w:tc>
          <w:tcPr>
            <w:tcW w:w="779" w:type="pct"/>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ОКПД2</w:t>
            </w:r>
          </w:p>
        </w:tc>
        <w:tc>
          <w:tcPr>
            <w:tcW w:w="584" w:type="pct"/>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Ед. изм.</w:t>
            </w:r>
          </w:p>
        </w:tc>
        <w:tc>
          <w:tcPr>
            <w:tcW w:w="584" w:type="pct"/>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Кол-во</w:t>
            </w:r>
          </w:p>
        </w:tc>
        <w:tc>
          <w:tcPr>
            <w:tcW w:w="716" w:type="pct"/>
            <w:shd w:val="clear" w:color="auto" w:fill="FFFF00"/>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Сумма (руб.)</w:t>
            </w:r>
          </w:p>
        </w:tc>
      </w:tr>
      <w:tr w:rsidR="00C7163A" w:rsidRPr="00C7163A" w:rsidTr="008F561F">
        <w:trPr>
          <w:trHeight w:val="448"/>
        </w:trPr>
        <w:tc>
          <w:tcPr>
            <w:tcW w:w="195" w:type="pct"/>
          </w:tcPr>
          <w:p w:rsidR="00C7163A" w:rsidRPr="00C7163A" w:rsidRDefault="00C7163A" w:rsidP="00C7163A">
            <w:pPr>
              <w:numPr>
                <w:ilvl w:val="0"/>
                <w:numId w:val="20"/>
              </w:numPr>
              <w:spacing w:after="0" w:line="240" w:lineRule="auto"/>
              <w:rPr>
                <w:rFonts w:ascii="Times New Roman" w:eastAsia="Calibri" w:hAnsi="Times New Roman" w:cs="Times New Roman"/>
                <w:bCs/>
              </w:rPr>
            </w:pPr>
          </w:p>
        </w:tc>
        <w:tc>
          <w:tcPr>
            <w:tcW w:w="2142" w:type="pct"/>
          </w:tcPr>
          <w:p w:rsidR="00C7163A" w:rsidRPr="00C7163A" w:rsidRDefault="00C7163A" w:rsidP="00C7163A">
            <w:pPr>
              <w:spacing w:after="0" w:line="240" w:lineRule="auto"/>
              <w:rPr>
                <w:rFonts w:ascii="Times New Roman" w:eastAsia="Calibri" w:hAnsi="Times New Roman" w:cs="Times New Roman"/>
                <w:bCs/>
              </w:rPr>
            </w:pPr>
            <w:r w:rsidRPr="00C7163A">
              <w:rPr>
                <w:rFonts w:ascii="Times New Roman" w:eastAsia="Calibri" w:hAnsi="Times New Roman" w:cs="Times New Roman"/>
                <w:bCs/>
              </w:rPr>
              <w:t>Оказание услуги по обследованию электрического оборудования</w:t>
            </w:r>
          </w:p>
        </w:tc>
        <w:tc>
          <w:tcPr>
            <w:tcW w:w="779" w:type="pct"/>
          </w:tcPr>
          <w:p w:rsidR="00C7163A" w:rsidRPr="005C3A7A" w:rsidRDefault="00C7163A" w:rsidP="00C7163A">
            <w:pPr>
              <w:shd w:val="clear" w:color="auto" w:fill="FFFFFF"/>
              <w:spacing w:after="0" w:line="240" w:lineRule="auto"/>
              <w:jc w:val="center"/>
              <w:textAlignment w:val="bottom"/>
              <w:outlineLvl w:val="0"/>
              <w:rPr>
                <w:rFonts w:ascii="Times New Roman" w:eastAsia="Calibri" w:hAnsi="Times New Roman" w:cs="Times New Roman"/>
                <w:bCs/>
              </w:rPr>
            </w:pPr>
            <w:r w:rsidRPr="005C3A7A">
              <w:rPr>
                <w:rFonts w:ascii="Times New Roman" w:eastAsia="Calibri" w:hAnsi="Times New Roman" w:cs="Times New Roman"/>
                <w:bCs/>
              </w:rPr>
              <w:t>71.12.11.900</w:t>
            </w:r>
          </w:p>
          <w:p w:rsidR="00C7163A" w:rsidRPr="00C7163A" w:rsidRDefault="00C7163A" w:rsidP="00C7163A">
            <w:pPr>
              <w:spacing w:after="0" w:line="240" w:lineRule="auto"/>
              <w:jc w:val="center"/>
              <w:rPr>
                <w:rFonts w:ascii="Times New Roman" w:eastAsia="Calibri" w:hAnsi="Times New Roman" w:cs="Times New Roman"/>
                <w:bCs/>
              </w:rPr>
            </w:pPr>
          </w:p>
        </w:tc>
        <w:tc>
          <w:tcPr>
            <w:tcW w:w="584" w:type="pct"/>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Усл. Ед.</w:t>
            </w:r>
          </w:p>
        </w:tc>
        <w:tc>
          <w:tcPr>
            <w:tcW w:w="584" w:type="pct"/>
          </w:tcPr>
          <w:p w:rsidR="00C7163A" w:rsidRPr="00C7163A" w:rsidRDefault="00C7163A" w:rsidP="00C7163A">
            <w:pPr>
              <w:spacing w:after="0" w:line="240" w:lineRule="auto"/>
              <w:jc w:val="center"/>
              <w:rPr>
                <w:rFonts w:ascii="Times New Roman" w:eastAsia="Calibri" w:hAnsi="Times New Roman" w:cs="Times New Roman"/>
                <w:bCs/>
              </w:rPr>
            </w:pPr>
            <w:r w:rsidRPr="00C7163A">
              <w:rPr>
                <w:rFonts w:ascii="Times New Roman" w:eastAsia="Calibri" w:hAnsi="Times New Roman" w:cs="Times New Roman"/>
                <w:bCs/>
              </w:rPr>
              <w:t>1</w:t>
            </w:r>
          </w:p>
        </w:tc>
        <w:tc>
          <w:tcPr>
            <w:tcW w:w="716" w:type="pct"/>
            <w:shd w:val="clear" w:color="auto" w:fill="FFFF00"/>
          </w:tcPr>
          <w:p w:rsidR="00C7163A" w:rsidRPr="00C7163A" w:rsidRDefault="00C7163A" w:rsidP="00C7163A">
            <w:pPr>
              <w:spacing w:after="0" w:line="240" w:lineRule="auto"/>
              <w:jc w:val="center"/>
              <w:rPr>
                <w:rFonts w:ascii="Times New Roman" w:eastAsia="Calibri" w:hAnsi="Times New Roman" w:cs="Times New Roman"/>
                <w:bCs/>
              </w:rPr>
            </w:pPr>
          </w:p>
        </w:tc>
      </w:tr>
    </w:tbl>
    <w:p w:rsidR="00C7163A" w:rsidRPr="00C7163A" w:rsidRDefault="00C7163A" w:rsidP="00C7163A">
      <w:pPr>
        <w:spacing w:after="0" w:line="240" w:lineRule="auto"/>
        <w:ind w:left="-142" w:right="-1277"/>
        <w:jc w:val="center"/>
        <w:rPr>
          <w:rFonts w:ascii="Times New Roman" w:hAnsi="Times New Roman" w:cs="Times New Roman"/>
          <w:b/>
        </w:rPr>
      </w:pPr>
    </w:p>
    <w:p w:rsidR="00C7163A" w:rsidRPr="00C7163A" w:rsidRDefault="00C7163A" w:rsidP="00C7163A">
      <w:pPr>
        <w:spacing w:after="0" w:line="240" w:lineRule="auto"/>
        <w:ind w:left="284" w:right="141"/>
        <w:jc w:val="center"/>
        <w:rPr>
          <w:rFonts w:ascii="Times New Roman" w:hAnsi="Times New Roman" w:cs="Times New Roman"/>
          <w:b/>
        </w:rPr>
      </w:pPr>
      <w:r w:rsidRPr="00C7163A">
        <w:rPr>
          <w:rFonts w:ascii="Times New Roman" w:hAnsi="Times New Roman" w:cs="Times New Roman"/>
          <w:b/>
        </w:rPr>
        <w:t>ТЕХНИЧЕСКОЕ ЗАДАНИЕ</w:t>
      </w:r>
    </w:p>
    <w:p w:rsidR="00C7163A" w:rsidRPr="00C7163A" w:rsidRDefault="00C7163A" w:rsidP="00C7163A">
      <w:pPr>
        <w:spacing w:after="0" w:line="240" w:lineRule="auto"/>
        <w:ind w:left="284" w:right="141"/>
        <w:jc w:val="center"/>
        <w:rPr>
          <w:rFonts w:ascii="Times New Roman" w:hAnsi="Times New Roman" w:cs="Times New Roman"/>
        </w:rPr>
      </w:pPr>
      <w:r w:rsidRPr="00C7163A">
        <w:rPr>
          <w:rFonts w:ascii="Times New Roman" w:eastAsia="Calibri" w:hAnsi="Times New Roman" w:cs="Times New Roman"/>
          <w:bCs/>
        </w:rPr>
        <w:t>Оказание услуги по обследованию электрического оборудования</w:t>
      </w:r>
    </w:p>
    <w:p w:rsidR="00C7163A" w:rsidRPr="00C7163A" w:rsidRDefault="00C7163A" w:rsidP="00C7163A">
      <w:pPr>
        <w:pStyle w:val="af5"/>
        <w:shd w:val="clear" w:color="auto" w:fill="FFFFFF"/>
        <w:spacing w:before="0" w:beforeAutospacing="0" w:after="0" w:afterAutospacing="0"/>
        <w:ind w:left="284" w:right="141" w:firstLine="567"/>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jc w:val="both"/>
        <w:rPr>
          <w:b/>
          <w:color w:val="000000"/>
          <w:sz w:val="22"/>
          <w:szCs w:val="22"/>
        </w:rPr>
      </w:pPr>
      <w:r w:rsidRPr="00C7163A">
        <w:rPr>
          <w:b/>
          <w:color w:val="000000"/>
          <w:sz w:val="22"/>
          <w:szCs w:val="22"/>
        </w:rPr>
        <w:t>1. Общие положения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1.1. Настоящее техническое задание определяет требования к составу, содержанию, порядку и результатам оказания услуг по обследованию технического состояния оборудования с целью подготовки данных для проведения ремонтных работ.</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1.2. Основание для выполнения работ: сработала световая сигнализация, расположенная на лицевой панели оборудования, оборудование отработало нормативный срок эксплуатации.</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jc w:val="both"/>
        <w:rPr>
          <w:b/>
          <w:color w:val="000000"/>
          <w:sz w:val="22"/>
          <w:szCs w:val="22"/>
        </w:rPr>
      </w:pPr>
      <w:r w:rsidRPr="00C7163A">
        <w:rPr>
          <w:b/>
          <w:color w:val="000000"/>
          <w:sz w:val="22"/>
          <w:szCs w:val="22"/>
        </w:rPr>
        <w:t>2. Цели и задачи обследования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2.1. Целью оказания услуг является определение фактического технического состояния оборудования, выявление дефектов и неисправностей, оценка объема и характера необходимых ремонтных воздействий.</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2.2. Для достижения поставленной цели Исполнитель должен решить следующие задачи:</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-Провести визуальный и инструментальный контроль узлов и деталей разделительных трансформаторов и подключенного к ним оборудования;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-Выявить дефекты, установить причины их возникновения и степень износа;</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-Составить дефектную ведомость с перечнем узлов и деталей, подлежащих замене или ремонту;</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-Определить вид и объем работ по ремонту оборудования на основании выявленных неисправностей.</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jc w:val="both"/>
        <w:rPr>
          <w:b/>
          <w:color w:val="000000"/>
          <w:sz w:val="22"/>
          <w:szCs w:val="22"/>
        </w:rPr>
      </w:pPr>
      <w:r w:rsidRPr="00C7163A">
        <w:rPr>
          <w:b/>
          <w:color w:val="000000"/>
          <w:sz w:val="22"/>
          <w:szCs w:val="22"/>
        </w:rPr>
        <w:t>3. Объекты обследования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 xml:space="preserve">3.1. Обследованию подлежит оборудование (Приложение № 1 к настоящему ТЗ), </w:t>
      </w:r>
      <w:r w:rsidRPr="00C7163A">
        <w:rPr>
          <w:rFonts w:eastAsia="Calibri"/>
          <w:bCs/>
          <w:sz w:val="22"/>
          <w:szCs w:val="22"/>
        </w:rPr>
        <w:t>расположенное по адресу: Санкт-Петербург, п. Песочный, Ленинградская улица, дом 68, литера А (хирургический корпус).</w:t>
      </w:r>
    </w:p>
    <w:p w:rsidR="00C7163A" w:rsidRPr="00C7163A" w:rsidRDefault="00C7163A" w:rsidP="00C7163A">
      <w:pPr>
        <w:pStyle w:val="af5"/>
        <w:shd w:val="clear" w:color="auto" w:fill="FFFFFF"/>
        <w:spacing w:before="0" w:beforeAutospacing="0" w:after="0" w:afterAutospacing="0"/>
        <w:ind w:left="284" w:right="141" w:firstLine="567"/>
        <w:jc w:val="both"/>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jc w:val="both"/>
        <w:rPr>
          <w:b/>
          <w:color w:val="000000"/>
          <w:sz w:val="22"/>
          <w:szCs w:val="22"/>
        </w:rPr>
      </w:pPr>
      <w:r w:rsidRPr="00C7163A">
        <w:rPr>
          <w:b/>
          <w:color w:val="000000"/>
          <w:sz w:val="22"/>
          <w:szCs w:val="22"/>
        </w:rPr>
        <w:t>4. Состав и содержание услуг</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4.1. Оказание услуг включает выполнение следующих этапов:</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 xml:space="preserve">1) </w:t>
      </w:r>
      <w:r w:rsidRPr="00C7163A">
        <w:rPr>
          <w:color w:val="000000"/>
          <w:sz w:val="22"/>
          <w:szCs w:val="22"/>
          <w:u w:val="single"/>
        </w:rPr>
        <w:t>Подготовительный этап</w:t>
      </w:r>
      <w:r w:rsidRPr="00C7163A">
        <w:rPr>
          <w:color w:val="000000"/>
          <w:sz w:val="22"/>
          <w:szCs w:val="22"/>
        </w:rPr>
        <w:t>: изучение конструкторской и эксплуатационной документации, согласование программы работ с Заказчиком, подготовка средств измерений и инструментов.</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 xml:space="preserve">2) </w:t>
      </w:r>
      <w:r w:rsidRPr="00C7163A">
        <w:rPr>
          <w:color w:val="000000"/>
          <w:sz w:val="22"/>
          <w:szCs w:val="22"/>
          <w:u w:val="single"/>
        </w:rPr>
        <w:t>Проведение обследования</w:t>
      </w:r>
      <w:r w:rsidRPr="00C7163A">
        <w:rPr>
          <w:color w:val="000000"/>
          <w:sz w:val="22"/>
          <w:szCs w:val="22"/>
        </w:rPr>
        <w:t xml:space="preserve">: </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-Частичная разборка оборудования (при необходимости) в объеме, достаточном для доступа к диагностируемым узлам</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-Визуальный и измерительный контроль деталей и сборочных единиц;</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-Проверка работоспособности систем;</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-Проведение необходимых инструментальных замеров и неразрушающего контроля;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 xml:space="preserve">3) </w:t>
      </w:r>
      <w:r w:rsidRPr="00C7163A">
        <w:rPr>
          <w:color w:val="000000"/>
          <w:sz w:val="22"/>
          <w:szCs w:val="22"/>
          <w:u w:val="single"/>
        </w:rPr>
        <w:t>Подготовка отчетных материалов</w:t>
      </w:r>
      <w:r w:rsidRPr="00C7163A">
        <w:rPr>
          <w:color w:val="000000"/>
          <w:sz w:val="22"/>
          <w:szCs w:val="22"/>
        </w:rPr>
        <w:t>:</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-Оценка выявленных дефектов и степени износа;</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-Составление ведомости дефектов с указанием конкретных деталей и узлов, требующих ремонта или замены;</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-Подготовка технического заключения (отчета) с рекомендациями по видам и объемам ремонтных работ.</w:t>
      </w:r>
    </w:p>
    <w:p w:rsidR="00C7163A" w:rsidRPr="00C7163A" w:rsidRDefault="00C7163A" w:rsidP="00C7163A">
      <w:pPr>
        <w:pStyle w:val="af5"/>
        <w:shd w:val="clear" w:color="auto" w:fill="FFFFFF"/>
        <w:spacing w:before="0" w:beforeAutospacing="0" w:after="0" w:afterAutospacing="0"/>
        <w:ind w:left="284" w:right="141" w:firstLine="567"/>
        <w:jc w:val="both"/>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jc w:val="both"/>
        <w:rPr>
          <w:b/>
          <w:color w:val="000000"/>
          <w:sz w:val="22"/>
          <w:szCs w:val="22"/>
        </w:rPr>
      </w:pPr>
      <w:r w:rsidRPr="00C7163A">
        <w:rPr>
          <w:b/>
          <w:color w:val="000000"/>
          <w:sz w:val="22"/>
          <w:szCs w:val="22"/>
        </w:rPr>
        <w:t>5. Требования к оказанию услуг</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5.1. Исполнитель должен обеспечить выполнение работ в соответствии с требованиями действующих нормативно-технических документов (ГОСТ, РД, инструкций заводов-изготовителей).</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5.2. Исполнитель должен применять средства измерений, прошедшие поверку (калибровку) в установленном порядке.</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5.3. Исполнитель должен обеспечить безопасное проведение работ на территории Заказчика, соблюдая правила промышленной безопасности и охраны труда.</w:t>
      </w:r>
    </w:p>
    <w:p w:rsidR="00C7163A" w:rsidRPr="00C7163A" w:rsidRDefault="00C7163A" w:rsidP="00C7163A">
      <w:pPr>
        <w:pStyle w:val="af5"/>
        <w:shd w:val="clear" w:color="auto" w:fill="FFFFFF"/>
        <w:spacing w:before="0" w:beforeAutospacing="0" w:after="0" w:afterAutospacing="0"/>
        <w:ind w:right="-1135" w:firstLine="284"/>
        <w:jc w:val="both"/>
        <w:rPr>
          <w:color w:val="000000"/>
          <w:sz w:val="22"/>
          <w:szCs w:val="22"/>
        </w:rPr>
      </w:pPr>
    </w:p>
    <w:p w:rsidR="00C7163A" w:rsidRPr="00C7163A" w:rsidRDefault="00C7163A" w:rsidP="00C7163A">
      <w:pPr>
        <w:pStyle w:val="af5"/>
        <w:shd w:val="clear" w:color="auto" w:fill="FFFFFF"/>
        <w:spacing w:before="0" w:beforeAutospacing="0" w:after="0" w:afterAutospacing="0"/>
        <w:ind w:right="-1135" w:firstLine="284"/>
        <w:jc w:val="both"/>
        <w:rPr>
          <w:color w:val="000000"/>
          <w:sz w:val="22"/>
          <w:szCs w:val="22"/>
        </w:rPr>
      </w:pPr>
    </w:p>
    <w:p w:rsidR="00C7163A" w:rsidRPr="00C7163A" w:rsidRDefault="00C7163A" w:rsidP="00C7163A">
      <w:pPr>
        <w:pStyle w:val="af5"/>
        <w:shd w:val="clear" w:color="auto" w:fill="FFFFFF"/>
        <w:spacing w:before="0" w:beforeAutospacing="0" w:after="0" w:afterAutospacing="0"/>
        <w:ind w:right="-1135" w:firstLine="284"/>
        <w:jc w:val="both"/>
        <w:rPr>
          <w:color w:val="000000"/>
          <w:sz w:val="22"/>
          <w:szCs w:val="22"/>
        </w:rPr>
      </w:pPr>
    </w:p>
    <w:p w:rsidR="00C7163A" w:rsidRPr="00C7163A" w:rsidRDefault="00C7163A" w:rsidP="00C7163A">
      <w:pPr>
        <w:pStyle w:val="af5"/>
        <w:shd w:val="clear" w:color="auto" w:fill="FFFFFF"/>
        <w:spacing w:before="0" w:beforeAutospacing="0" w:after="0" w:afterAutospacing="0"/>
        <w:ind w:right="-1135" w:firstLine="284"/>
        <w:jc w:val="both"/>
        <w:rPr>
          <w:color w:val="000000"/>
          <w:sz w:val="22"/>
          <w:szCs w:val="22"/>
        </w:rPr>
      </w:pPr>
    </w:p>
    <w:p w:rsidR="00C7163A" w:rsidRPr="00C7163A" w:rsidRDefault="00C7163A" w:rsidP="00C7163A">
      <w:pPr>
        <w:pStyle w:val="af5"/>
        <w:shd w:val="clear" w:color="auto" w:fill="FFFFFF"/>
        <w:spacing w:before="0" w:beforeAutospacing="0" w:after="0" w:afterAutospacing="0"/>
        <w:ind w:right="-1135" w:firstLine="284"/>
        <w:jc w:val="both"/>
        <w:rPr>
          <w:color w:val="000000"/>
          <w:sz w:val="22"/>
          <w:szCs w:val="22"/>
        </w:rPr>
      </w:pPr>
    </w:p>
    <w:p w:rsidR="00C7163A" w:rsidRPr="00C7163A" w:rsidRDefault="00C7163A" w:rsidP="00C7163A">
      <w:pPr>
        <w:pStyle w:val="af5"/>
        <w:shd w:val="clear" w:color="auto" w:fill="FFFFFF"/>
        <w:spacing w:before="0" w:beforeAutospacing="0" w:after="0" w:afterAutospacing="0"/>
        <w:ind w:left="284" w:right="-1135" w:firstLine="567"/>
        <w:jc w:val="both"/>
        <w:rPr>
          <w:b/>
          <w:color w:val="000000"/>
          <w:sz w:val="22"/>
          <w:szCs w:val="22"/>
        </w:rPr>
      </w:pPr>
      <w:r w:rsidRPr="00C7163A">
        <w:rPr>
          <w:b/>
          <w:color w:val="000000"/>
          <w:sz w:val="22"/>
          <w:szCs w:val="22"/>
        </w:rPr>
        <w:t xml:space="preserve">6. Сроки и этапы </w:t>
      </w:r>
    </w:p>
    <w:tbl>
      <w:tblPr>
        <w:tblStyle w:val="ad"/>
        <w:tblW w:w="10915" w:type="dxa"/>
        <w:tblInd w:w="392" w:type="dxa"/>
        <w:tblLook w:val="04A0" w:firstRow="1" w:lastRow="0" w:firstColumn="1" w:lastColumn="0" w:noHBand="0" w:noVBand="1"/>
      </w:tblPr>
      <w:tblGrid>
        <w:gridCol w:w="709"/>
        <w:gridCol w:w="3703"/>
        <w:gridCol w:w="3013"/>
        <w:gridCol w:w="3490"/>
      </w:tblGrid>
      <w:tr w:rsidR="00C7163A" w:rsidRPr="00C7163A" w:rsidTr="00C7163A">
        <w:tc>
          <w:tcPr>
            <w:tcW w:w="709" w:type="dxa"/>
          </w:tcPr>
          <w:p w:rsidR="00C7163A" w:rsidRPr="00C7163A" w:rsidRDefault="00C7163A" w:rsidP="00C7163A">
            <w:pPr>
              <w:pStyle w:val="af5"/>
              <w:spacing w:before="0" w:beforeAutospacing="0" w:after="0" w:afterAutospacing="0"/>
              <w:rPr>
                <w:color w:val="000000"/>
                <w:sz w:val="22"/>
                <w:szCs w:val="22"/>
              </w:rPr>
            </w:pPr>
            <w:r>
              <w:rPr>
                <w:color w:val="000000"/>
                <w:sz w:val="22"/>
                <w:szCs w:val="22"/>
              </w:rPr>
              <w:t>Э</w:t>
            </w:r>
            <w:r w:rsidRPr="00C7163A">
              <w:rPr>
                <w:color w:val="000000"/>
                <w:sz w:val="22"/>
                <w:szCs w:val="22"/>
              </w:rPr>
              <w:t>тап</w:t>
            </w:r>
          </w:p>
        </w:tc>
        <w:tc>
          <w:tcPr>
            <w:tcW w:w="3703" w:type="dxa"/>
          </w:tcPr>
          <w:p w:rsidR="00C7163A" w:rsidRPr="00C7163A" w:rsidRDefault="00C7163A" w:rsidP="00C7163A">
            <w:pPr>
              <w:pStyle w:val="af5"/>
              <w:spacing w:before="0" w:beforeAutospacing="0" w:after="0" w:afterAutospacing="0"/>
              <w:jc w:val="center"/>
              <w:rPr>
                <w:color w:val="000000"/>
                <w:sz w:val="22"/>
                <w:szCs w:val="22"/>
              </w:rPr>
            </w:pPr>
            <w:r w:rsidRPr="00C7163A">
              <w:rPr>
                <w:color w:val="000000"/>
                <w:sz w:val="22"/>
                <w:szCs w:val="22"/>
              </w:rPr>
              <w:t>Наименование этапа</w:t>
            </w:r>
          </w:p>
        </w:tc>
        <w:tc>
          <w:tcPr>
            <w:tcW w:w="3013" w:type="dxa"/>
          </w:tcPr>
          <w:p w:rsidR="00C7163A" w:rsidRPr="00C7163A" w:rsidRDefault="00C7163A" w:rsidP="00C7163A">
            <w:pPr>
              <w:pStyle w:val="af5"/>
              <w:spacing w:before="0" w:beforeAutospacing="0" w:after="0" w:afterAutospacing="0"/>
              <w:jc w:val="center"/>
              <w:rPr>
                <w:color w:val="000000"/>
                <w:sz w:val="22"/>
                <w:szCs w:val="22"/>
              </w:rPr>
            </w:pPr>
            <w:r w:rsidRPr="00C7163A">
              <w:rPr>
                <w:color w:val="000000"/>
                <w:sz w:val="22"/>
                <w:szCs w:val="22"/>
              </w:rPr>
              <w:t>Срок выполнения</w:t>
            </w:r>
          </w:p>
        </w:tc>
        <w:tc>
          <w:tcPr>
            <w:tcW w:w="3490" w:type="dxa"/>
          </w:tcPr>
          <w:p w:rsidR="00C7163A" w:rsidRPr="00C7163A" w:rsidRDefault="00C7163A" w:rsidP="00C7163A">
            <w:pPr>
              <w:pStyle w:val="af5"/>
              <w:spacing w:before="0" w:beforeAutospacing="0" w:after="0" w:afterAutospacing="0"/>
              <w:jc w:val="center"/>
              <w:rPr>
                <w:color w:val="000000"/>
                <w:sz w:val="22"/>
                <w:szCs w:val="22"/>
              </w:rPr>
            </w:pPr>
            <w:r w:rsidRPr="00C7163A">
              <w:rPr>
                <w:color w:val="000000"/>
                <w:sz w:val="22"/>
                <w:szCs w:val="22"/>
              </w:rPr>
              <w:t>Результат</w:t>
            </w:r>
          </w:p>
        </w:tc>
      </w:tr>
      <w:tr w:rsidR="00C7163A" w:rsidRPr="00C7163A" w:rsidTr="00C7163A">
        <w:tc>
          <w:tcPr>
            <w:tcW w:w="709"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1</w:t>
            </w:r>
          </w:p>
        </w:tc>
        <w:tc>
          <w:tcPr>
            <w:tcW w:w="3703"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Подготовительный этап</w:t>
            </w:r>
          </w:p>
        </w:tc>
        <w:tc>
          <w:tcPr>
            <w:tcW w:w="3013"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1 (один) рабочий день после заключения Контракта</w:t>
            </w:r>
          </w:p>
        </w:tc>
        <w:tc>
          <w:tcPr>
            <w:tcW w:w="3490"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Согласованная Программа работ</w:t>
            </w:r>
          </w:p>
        </w:tc>
      </w:tr>
      <w:tr w:rsidR="00C7163A" w:rsidRPr="00C7163A" w:rsidTr="00C7163A">
        <w:tc>
          <w:tcPr>
            <w:tcW w:w="709"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2</w:t>
            </w:r>
          </w:p>
        </w:tc>
        <w:tc>
          <w:tcPr>
            <w:tcW w:w="3703"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Проведение обследования</w:t>
            </w:r>
          </w:p>
        </w:tc>
        <w:tc>
          <w:tcPr>
            <w:tcW w:w="3013"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5 (пять) рабочих дней после заключения Контракта</w:t>
            </w:r>
          </w:p>
        </w:tc>
        <w:tc>
          <w:tcPr>
            <w:tcW w:w="3490"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Акты осмотра, протоколы замеров</w:t>
            </w:r>
          </w:p>
        </w:tc>
      </w:tr>
      <w:tr w:rsidR="00C7163A" w:rsidRPr="00C7163A" w:rsidTr="00C7163A">
        <w:tc>
          <w:tcPr>
            <w:tcW w:w="709"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3</w:t>
            </w:r>
          </w:p>
        </w:tc>
        <w:tc>
          <w:tcPr>
            <w:tcW w:w="3703"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Подготовка отчетных материалов</w:t>
            </w:r>
          </w:p>
        </w:tc>
        <w:tc>
          <w:tcPr>
            <w:tcW w:w="3013"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5 (пять) рабочих дней после заключения Контракта</w:t>
            </w:r>
          </w:p>
        </w:tc>
        <w:tc>
          <w:tcPr>
            <w:tcW w:w="3490" w:type="dxa"/>
          </w:tcPr>
          <w:p w:rsidR="00C7163A" w:rsidRPr="00C7163A" w:rsidRDefault="00C7163A" w:rsidP="00C7163A">
            <w:pPr>
              <w:pStyle w:val="af5"/>
              <w:spacing w:before="0" w:beforeAutospacing="0" w:after="0" w:afterAutospacing="0"/>
              <w:rPr>
                <w:color w:val="000000"/>
                <w:sz w:val="22"/>
                <w:szCs w:val="22"/>
              </w:rPr>
            </w:pPr>
            <w:r w:rsidRPr="00C7163A">
              <w:rPr>
                <w:color w:val="000000"/>
                <w:sz w:val="22"/>
                <w:szCs w:val="22"/>
              </w:rPr>
              <w:t>Техническое заключение, Ведомость дефектов</w:t>
            </w:r>
          </w:p>
        </w:tc>
      </w:tr>
    </w:tbl>
    <w:p w:rsidR="00C7163A" w:rsidRPr="00C7163A" w:rsidRDefault="00C7163A" w:rsidP="00C7163A">
      <w:pPr>
        <w:pStyle w:val="af5"/>
        <w:shd w:val="clear" w:color="auto" w:fill="FFFFFF"/>
        <w:spacing w:before="0" w:beforeAutospacing="0" w:after="0" w:afterAutospacing="0"/>
        <w:ind w:left="284" w:firstLine="567"/>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rPr>
          <w:b/>
          <w:color w:val="000000"/>
          <w:sz w:val="22"/>
          <w:szCs w:val="22"/>
        </w:rPr>
      </w:pPr>
      <w:r w:rsidRPr="00C7163A">
        <w:rPr>
          <w:b/>
          <w:color w:val="000000"/>
          <w:sz w:val="22"/>
          <w:szCs w:val="22"/>
        </w:rPr>
        <w:t>7. Требования к отчетным материалам</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 xml:space="preserve">7.1. По результатам оказания услуг Исполнитель предоставляет Заказчику отчет, содержащий: </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-Техническое заключение о состоянии оборудования;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-Ведомость дефектов с перечнем деталей и узлов, подлежащих замене или ремонту;</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-Рекомендации по объему и видам ремонтных работ;</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-Протоколы инструментальных замеров и контроля.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7.2. Отчет предоставляется на бумажном носителе в 2 (двух) экземплярах и в электронном виде (формат PDF).</w:t>
      </w:r>
    </w:p>
    <w:p w:rsidR="00C7163A" w:rsidRPr="00C7163A" w:rsidRDefault="00C7163A" w:rsidP="00C7163A">
      <w:pPr>
        <w:pStyle w:val="af5"/>
        <w:shd w:val="clear" w:color="auto" w:fill="FFFFFF"/>
        <w:spacing w:before="0" w:beforeAutospacing="0" w:after="0" w:afterAutospacing="0"/>
        <w:ind w:left="284" w:right="141" w:firstLine="567"/>
        <w:jc w:val="both"/>
        <w:rPr>
          <w:color w:val="000000"/>
          <w:sz w:val="22"/>
          <w:szCs w:val="22"/>
        </w:rPr>
      </w:pPr>
    </w:p>
    <w:p w:rsidR="00C7163A" w:rsidRPr="00C7163A" w:rsidRDefault="00C7163A" w:rsidP="00C7163A">
      <w:pPr>
        <w:pStyle w:val="af5"/>
        <w:shd w:val="clear" w:color="auto" w:fill="FFFFFF"/>
        <w:spacing w:before="0" w:beforeAutospacing="0" w:after="0" w:afterAutospacing="0"/>
        <w:ind w:left="284" w:right="141" w:firstLine="425"/>
        <w:jc w:val="both"/>
        <w:rPr>
          <w:b/>
          <w:color w:val="000000"/>
          <w:sz w:val="22"/>
          <w:szCs w:val="22"/>
        </w:rPr>
      </w:pPr>
      <w:r w:rsidRPr="00C7163A">
        <w:rPr>
          <w:b/>
          <w:color w:val="000000"/>
          <w:sz w:val="22"/>
          <w:szCs w:val="22"/>
        </w:rPr>
        <w:t>8. Порядок приемки результатов</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8.1. Приемка оказанных услуг осуществляется комиссией Заказчика с участием представителя Исполнителя.</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8.2. По окончании оказания услуг Исполнитель предоставляет Заказчику УПД в ЭДО и комплект отчетных материалов.</w:t>
      </w:r>
    </w:p>
    <w:p w:rsidR="00C7163A" w:rsidRPr="00C7163A" w:rsidRDefault="00C7163A" w:rsidP="00C7163A">
      <w:pPr>
        <w:pStyle w:val="af5"/>
        <w:shd w:val="clear" w:color="auto" w:fill="FFFFFF"/>
        <w:spacing w:before="0" w:beforeAutospacing="0" w:after="0" w:afterAutospacing="0"/>
        <w:ind w:left="284" w:right="141" w:firstLine="425"/>
        <w:jc w:val="both"/>
        <w:rPr>
          <w:color w:val="000000"/>
          <w:sz w:val="22"/>
          <w:szCs w:val="22"/>
        </w:rPr>
      </w:pPr>
      <w:r w:rsidRPr="00C7163A">
        <w:rPr>
          <w:color w:val="000000"/>
          <w:sz w:val="22"/>
          <w:szCs w:val="22"/>
        </w:rPr>
        <w:t>8.3. Заказчик в течение 5 рабочих дней рассматривает результаты и подписывает УПД в ЭДО или направляет мотивированный отказ.</w:t>
      </w:r>
    </w:p>
    <w:p w:rsidR="00C7163A" w:rsidRPr="00C7163A" w:rsidRDefault="00C7163A" w:rsidP="00C7163A">
      <w:pPr>
        <w:pStyle w:val="af5"/>
        <w:shd w:val="clear" w:color="auto" w:fill="FFFFFF"/>
        <w:spacing w:before="0" w:beforeAutospacing="0" w:after="0" w:afterAutospacing="0"/>
        <w:ind w:right="-1277" w:firstLine="284"/>
        <w:jc w:val="both"/>
        <w:rPr>
          <w:color w:val="000000"/>
          <w:sz w:val="22"/>
          <w:szCs w:val="22"/>
        </w:rPr>
      </w:pPr>
    </w:p>
    <w:p w:rsidR="00C7163A" w:rsidRPr="00C7163A" w:rsidRDefault="00C7163A" w:rsidP="00C7163A">
      <w:pPr>
        <w:spacing w:after="0" w:line="240" w:lineRule="auto"/>
        <w:ind w:right="-1277"/>
        <w:jc w:val="center"/>
        <w:rPr>
          <w:rFonts w:ascii="Times New Roman" w:hAnsi="Times New Roman" w:cs="Times New Roman"/>
        </w:rPr>
      </w:pPr>
      <w:r w:rsidRPr="00C7163A">
        <w:rPr>
          <w:rFonts w:ascii="Times New Roman" w:hAnsi="Times New Roman" w:cs="Times New Roman"/>
        </w:rPr>
        <w:t>Приложение №1 к техническому заданию</w:t>
      </w:r>
    </w:p>
    <w:p w:rsidR="00C7163A" w:rsidRPr="00C7163A" w:rsidRDefault="00C7163A" w:rsidP="00C7163A">
      <w:pPr>
        <w:spacing w:after="0" w:line="240" w:lineRule="auto"/>
        <w:ind w:right="-1277"/>
        <w:jc w:val="center"/>
        <w:rPr>
          <w:rFonts w:ascii="Times New Roman" w:hAnsi="Times New Roman" w:cs="Times New Roman"/>
        </w:rPr>
      </w:pPr>
      <w:r w:rsidRPr="00C7163A">
        <w:rPr>
          <w:rFonts w:ascii="Times New Roman" w:hAnsi="Times New Roman" w:cs="Times New Roman"/>
        </w:rPr>
        <w:t>Перечень оборудования, подлежащего обследованию</w:t>
      </w:r>
    </w:p>
    <w:p w:rsidR="00C7163A" w:rsidRPr="00C7163A" w:rsidRDefault="00C7163A" w:rsidP="00C7163A">
      <w:pPr>
        <w:spacing w:after="0" w:line="240" w:lineRule="auto"/>
        <w:ind w:right="-1277"/>
        <w:jc w:val="both"/>
        <w:rPr>
          <w:rFonts w:ascii="Times New Roman" w:hAnsi="Times New Roman" w:cs="Times New Roman"/>
        </w:rPr>
      </w:pPr>
    </w:p>
    <w:tbl>
      <w:tblPr>
        <w:tblStyle w:val="ad"/>
        <w:tblW w:w="10915" w:type="dxa"/>
        <w:tblInd w:w="392" w:type="dxa"/>
        <w:tblLook w:val="04A0" w:firstRow="1" w:lastRow="0" w:firstColumn="1" w:lastColumn="0" w:noHBand="0" w:noVBand="1"/>
      </w:tblPr>
      <w:tblGrid>
        <w:gridCol w:w="513"/>
        <w:gridCol w:w="5832"/>
        <w:gridCol w:w="4570"/>
      </w:tblGrid>
      <w:tr w:rsidR="00C7163A" w:rsidRPr="00C7163A" w:rsidTr="00C7163A">
        <w:tc>
          <w:tcPr>
            <w:tcW w:w="513"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w:t>
            </w:r>
          </w:p>
        </w:tc>
        <w:tc>
          <w:tcPr>
            <w:tcW w:w="5832"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Наименование</w:t>
            </w:r>
          </w:p>
        </w:tc>
        <w:tc>
          <w:tcPr>
            <w:tcW w:w="4570"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Характеристики</w:t>
            </w:r>
          </w:p>
        </w:tc>
      </w:tr>
      <w:tr w:rsidR="00C7163A" w:rsidRPr="00C7163A" w:rsidTr="00C7163A">
        <w:trPr>
          <w:trHeight w:val="876"/>
        </w:trPr>
        <w:tc>
          <w:tcPr>
            <w:tcW w:w="513"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1</w:t>
            </w:r>
          </w:p>
        </w:tc>
        <w:tc>
          <w:tcPr>
            <w:tcW w:w="5832"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 xml:space="preserve">Трансформатор разделительный трехфазный </w:t>
            </w:r>
          </w:p>
          <w:p w:rsidR="00C7163A" w:rsidRPr="00C7163A" w:rsidRDefault="00C7163A" w:rsidP="00C7163A">
            <w:pPr>
              <w:rPr>
                <w:rFonts w:ascii="Times New Roman" w:hAnsi="Times New Roman" w:cs="Times New Roman"/>
              </w:rPr>
            </w:pPr>
            <w:r w:rsidRPr="00C7163A">
              <w:rPr>
                <w:rFonts w:ascii="Times New Roman" w:hAnsi="Times New Roman" w:cs="Times New Roman"/>
              </w:rPr>
              <w:t>ТРТ-50000М Дата изг. 29.03.2012 №3714</w:t>
            </w:r>
          </w:p>
        </w:tc>
        <w:tc>
          <w:tcPr>
            <w:tcW w:w="4570" w:type="dxa"/>
          </w:tcPr>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вых.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rPr>
              <w:t>50 Гц</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P</w:t>
            </w:r>
            <w:r w:rsidRPr="00C7163A">
              <w:rPr>
                <w:rFonts w:ascii="Times New Roman" w:hAnsi="Times New Roman" w:cs="Times New Roman"/>
              </w:rPr>
              <w:t xml:space="preserve"> </w:t>
            </w:r>
            <w:r w:rsidRPr="00C7163A">
              <w:rPr>
                <w:rFonts w:ascii="Times New Roman" w:hAnsi="Times New Roman" w:cs="Times New Roman"/>
                <w:vertAlign w:val="subscript"/>
                <w:lang w:val="en-US"/>
              </w:rPr>
              <w:t>Max</w:t>
            </w:r>
            <w:r w:rsidRPr="00C7163A">
              <w:rPr>
                <w:rFonts w:ascii="Times New Roman" w:hAnsi="Times New Roman" w:cs="Times New Roman"/>
                <w:vertAlign w:val="subscript"/>
              </w:rPr>
              <w:t xml:space="preserve"> </w:t>
            </w:r>
            <w:r w:rsidRPr="00C7163A">
              <w:rPr>
                <w:rFonts w:ascii="Times New Roman" w:hAnsi="Times New Roman" w:cs="Times New Roman"/>
              </w:rPr>
              <w:t>50 000ВА</w:t>
            </w:r>
          </w:p>
        </w:tc>
      </w:tr>
      <w:tr w:rsidR="00C7163A" w:rsidRPr="00C7163A" w:rsidTr="00C7163A">
        <w:tc>
          <w:tcPr>
            <w:tcW w:w="513"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2</w:t>
            </w:r>
          </w:p>
        </w:tc>
        <w:tc>
          <w:tcPr>
            <w:tcW w:w="5832"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 xml:space="preserve">Трансформатор разделительный трехфазный </w:t>
            </w:r>
          </w:p>
          <w:p w:rsidR="00C7163A" w:rsidRPr="00C7163A" w:rsidRDefault="00C7163A" w:rsidP="00C7163A">
            <w:pPr>
              <w:rPr>
                <w:rFonts w:ascii="Times New Roman" w:hAnsi="Times New Roman" w:cs="Times New Roman"/>
              </w:rPr>
            </w:pPr>
            <w:r w:rsidRPr="00C7163A">
              <w:rPr>
                <w:rFonts w:ascii="Times New Roman" w:hAnsi="Times New Roman" w:cs="Times New Roman"/>
              </w:rPr>
              <w:t>ТРТ-50000М Дата изг. 29.03.2012 №3715</w:t>
            </w:r>
          </w:p>
        </w:tc>
        <w:tc>
          <w:tcPr>
            <w:tcW w:w="4570" w:type="dxa"/>
          </w:tcPr>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вых.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rPr>
              <w:t>50 Гц</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P</w:t>
            </w:r>
            <w:r w:rsidRPr="00C7163A">
              <w:rPr>
                <w:rFonts w:ascii="Times New Roman" w:hAnsi="Times New Roman" w:cs="Times New Roman"/>
              </w:rPr>
              <w:t xml:space="preserve"> </w:t>
            </w:r>
            <w:r w:rsidRPr="00C7163A">
              <w:rPr>
                <w:rFonts w:ascii="Times New Roman" w:hAnsi="Times New Roman" w:cs="Times New Roman"/>
                <w:vertAlign w:val="subscript"/>
                <w:lang w:val="en-US"/>
              </w:rPr>
              <w:t>Max</w:t>
            </w:r>
            <w:r w:rsidRPr="00C7163A">
              <w:rPr>
                <w:rFonts w:ascii="Times New Roman" w:hAnsi="Times New Roman" w:cs="Times New Roman"/>
                <w:vertAlign w:val="subscript"/>
              </w:rPr>
              <w:t xml:space="preserve"> </w:t>
            </w:r>
            <w:r w:rsidRPr="00C7163A">
              <w:rPr>
                <w:rFonts w:ascii="Times New Roman" w:hAnsi="Times New Roman" w:cs="Times New Roman"/>
              </w:rPr>
              <w:t>50 000ВА</w:t>
            </w:r>
          </w:p>
        </w:tc>
      </w:tr>
      <w:tr w:rsidR="00C7163A" w:rsidRPr="00C7163A" w:rsidTr="00C7163A">
        <w:tc>
          <w:tcPr>
            <w:tcW w:w="513"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3</w:t>
            </w:r>
          </w:p>
        </w:tc>
        <w:tc>
          <w:tcPr>
            <w:tcW w:w="5832"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 xml:space="preserve">Трансформатор разделительный трехфазный </w:t>
            </w:r>
          </w:p>
          <w:p w:rsidR="00C7163A" w:rsidRPr="00C7163A" w:rsidRDefault="00C7163A" w:rsidP="00C7163A">
            <w:pPr>
              <w:rPr>
                <w:rFonts w:ascii="Times New Roman" w:hAnsi="Times New Roman" w:cs="Times New Roman"/>
              </w:rPr>
            </w:pPr>
            <w:r w:rsidRPr="00C7163A">
              <w:rPr>
                <w:rFonts w:ascii="Times New Roman" w:hAnsi="Times New Roman" w:cs="Times New Roman"/>
              </w:rPr>
              <w:t>ТРТ-30000М Дата изг. 29.03.2012 №3712</w:t>
            </w:r>
          </w:p>
        </w:tc>
        <w:tc>
          <w:tcPr>
            <w:tcW w:w="4570" w:type="dxa"/>
          </w:tcPr>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вых.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rPr>
              <w:t>50 Гц</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P</w:t>
            </w:r>
            <w:r w:rsidRPr="00C7163A">
              <w:rPr>
                <w:rFonts w:ascii="Times New Roman" w:hAnsi="Times New Roman" w:cs="Times New Roman"/>
              </w:rPr>
              <w:t xml:space="preserve"> </w:t>
            </w:r>
            <w:r w:rsidRPr="00C7163A">
              <w:rPr>
                <w:rFonts w:ascii="Times New Roman" w:hAnsi="Times New Roman" w:cs="Times New Roman"/>
                <w:vertAlign w:val="subscript"/>
                <w:lang w:val="en-US"/>
              </w:rPr>
              <w:t>Max</w:t>
            </w:r>
            <w:r w:rsidRPr="00C7163A">
              <w:rPr>
                <w:rFonts w:ascii="Times New Roman" w:hAnsi="Times New Roman" w:cs="Times New Roman"/>
                <w:vertAlign w:val="subscript"/>
              </w:rPr>
              <w:t xml:space="preserve"> </w:t>
            </w:r>
            <w:r w:rsidRPr="00C7163A">
              <w:rPr>
                <w:rFonts w:ascii="Times New Roman" w:hAnsi="Times New Roman" w:cs="Times New Roman"/>
              </w:rPr>
              <w:t>50 000ВА</w:t>
            </w:r>
          </w:p>
        </w:tc>
      </w:tr>
      <w:tr w:rsidR="00C7163A" w:rsidRPr="00C7163A" w:rsidTr="00C7163A">
        <w:tc>
          <w:tcPr>
            <w:tcW w:w="513"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4</w:t>
            </w:r>
          </w:p>
        </w:tc>
        <w:tc>
          <w:tcPr>
            <w:tcW w:w="5832" w:type="dxa"/>
          </w:tcPr>
          <w:p w:rsidR="00C7163A" w:rsidRPr="00C7163A" w:rsidRDefault="00C7163A" w:rsidP="00C7163A">
            <w:pPr>
              <w:rPr>
                <w:rFonts w:ascii="Times New Roman" w:hAnsi="Times New Roman" w:cs="Times New Roman"/>
              </w:rPr>
            </w:pPr>
            <w:r w:rsidRPr="00C7163A">
              <w:rPr>
                <w:rFonts w:ascii="Times New Roman" w:hAnsi="Times New Roman" w:cs="Times New Roman"/>
              </w:rPr>
              <w:t xml:space="preserve">Трансформатор разделительный трехфазный </w:t>
            </w:r>
          </w:p>
          <w:p w:rsidR="00C7163A" w:rsidRPr="00C7163A" w:rsidRDefault="00C7163A" w:rsidP="00C7163A">
            <w:pPr>
              <w:rPr>
                <w:rFonts w:ascii="Times New Roman" w:hAnsi="Times New Roman" w:cs="Times New Roman"/>
              </w:rPr>
            </w:pPr>
            <w:r w:rsidRPr="00C7163A">
              <w:rPr>
                <w:rFonts w:ascii="Times New Roman" w:hAnsi="Times New Roman" w:cs="Times New Roman"/>
              </w:rPr>
              <w:t>ТРТ-30000М Дата изг. 29.03.2012 №3713</w:t>
            </w:r>
          </w:p>
        </w:tc>
        <w:tc>
          <w:tcPr>
            <w:tcW w:w="4570" w:type="dxa"/>
          </w:tcPr>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U</w:t>
            </w:r>
            <w:r w:rsidRPr="00C7163A">
              <w:rPr>
                <w:rFonts w:ascii="Times New Roman" w:hAnsi="Times New Roman" w:cs="Times New Roman"/>
              </w:rPr>
              <w:t xml:space="preserve"> </w:t>
            </w:r>
            <w:r w:rsidRPr="00C7163A">
              <w:rPr>
                <w:rFonts w:ascii="Times New Roman" w:hAnsi="Times New Roman" w:cs="Times New Roman"/>
                <w:vertAlign w:val="subscript"/>
              </w:rPr>
              <w:t>вых.</w:t>
            </w:r>
            <w:r w:rsidRPr="00C7163A">
              <w:rPr>
                <w:rFonts w:ascii="Times New Roman" w:hAnsi="Times New Roman" w:cs="Times New Roman"/>
              </w:rPr>
              <w:t>380/220</w:t>
            </w:r>
          </w:p>
          <w:p w:rsidR="00C7163A" w:rsidRPr="00C7163A" w:rsidRDefault="00C7163A" w:rsidP="00C7163A">
            <w:pPr>
              <w:rPr>
                <w:rFonts w:ascii="Times New Roman" w:hAnsi="Times New Roman" w:cs="Times New Roman"/>
              </w:rPr>
            </w:pPr>
            <w:r w:rsidRPr="00C7163A">
              <w:rPr>
                <w:rFonts w:ascii="Times New Roman" w:hAnsi="Times New Roman" w:cs="Times New Roman"/>
              </w:rPr>
              <w:t>50 Гц</w:t>
            </w:r>
          </w:p>
          <w:p w:rsidR="00C7163A" w:rsidRPr="00C7163A" w:rsidRDefault="00C7163A" w:rsidP="00C7163A">
            <w:pPr>
              <w:rPr>
                <w:rFonts w:ascii="Times New Roman" w:hAnsi="Times New Roman" w:cs="Times New Roman"/>
              </w:rPr>
            </w:pPr>
            <w:r w:rsidRPr="00C7163A">
              <w:rPr>
                <w:rFonts w:ascii="Times New Roman" w:hAnsi="Times New Roman" w:cs="Times New Roman"/>
                <w:lang w:val="en-US"/>
              </w:rPr>
              <w:t>P</w:t>
            </w:r>
            <w:r w:rsidRPr="00C7163A">
              <w:rPr>
                <w:rFonts w:ascii="Times New Roman" w:hAnsi="Times New Roman" w:cs="Times New Roman"/>
              </w:rPr>
              <w:t xml:space="preserve"> </w:t>
            </w:r>
            <w:r w:rsidRPr="00C7163A">
              <w:rPr>
                <w:rFonts w:ascii="Times New Roman" w:hAnsi="Times New Roman" w:cs="Times New Roman"/>
                <w:vertAlign w:val="subscript"/>
                <w:lang w:val="en-US"/>
              </w:rPr>
              <w:t>Max</w:t>
            </w:r>
            <w:r w:rsidRPr="00C7163A">
              <w:rPr>
                <w:rFonts w:ascii="Times New Roman" w:hAnsi="Times New Roman" w:cs="Times New Roman"/>
                <w:vertAlign w:val="subscript"/>
              </w:rPr>
              <w:t xml:space="preserve"> </w:t>
            </w:r>
            <w:r w:rsidRPr="00C7163A">
              <w:rPr>
                <w:rFonts w:ascii="Times New Roman" w:hAnsi="Times New Roman" w:cs="Times New Roman"/>
              </w:rPr>
              <w:t>50 000ВА</w:t>
            </w:r>
          </w:p>
        </w:tc>
      </w:tr>
    </w:tbl>
    <w:p w:rsidR="00C7163A" w:rsidRPr="00C7163A" w:rsidRDefault="00C7163A" w:rsidP="00C7163A">
      <w:pPr>
        <w:spacing w:after="0" w:line="240" w:lineRule="auto"/>
        <w:rPr>
          <w:rFonts w:ascii="Times New Roman" w:hAnsi="Times New Roman" w:cs="Times New Roman"/>
        </w:rPr>
      </w:pPr>
    </w:p>
    <w:p w:rsidR="00C7163A" w:rsidRPr="00C7163A" w:rsidRDefault="00C7163A" w:rsidP="00C7163A">
      <w:pPr>
        <w:pStyle w:val="a7"/>
        <w:widowControl w:val="0"/>
        <w:spacing w:after="0" w:line="240" w:lineRule="auto"/>
        <w:ind w:left="0"/>
        <w:jc w:val="center"/>
        <w:rPr>
          <w:rFonts w:ascii="Times New Roman" w:eastAsia="Courier New" w:hAnsi="Times New Roman" w:cs="Times New Roman"/>
          <w:b/>
        </w:rPr>
      </w:pPr>
    </w:p>
    <w:p w:rsidR="00170252" w:rsidRPr="00C7163A" w:rsidRDefault="00170252" w:rsidP="00C7163A">
      <w:pPr>
        <w:spacing w:after="0" w:line="240" w:lineRule="auto"/>
        <w:rPr>
          <w:rFonts w:ascii="Times New Roman" w:hAnsi="Times New Roman" w:cs="Times New Roman"/>
          <w:b/>
        </w:rPr>
      </w:pPr>
    </w:p>
    <w:sectPr w:rsidR="00170252" w:rsidRPr="00C7163A" w:rsidSect="00C7163A">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9E7" w:rsidRDefault="003E09E7">
      <w:pPr>
        <w:spacing w:after="0" w:line="240" w:lineRule="auto"/>
      </w:pPr>
      <w:r>
        <w:separator/>
      </w:r>
    </w:p>
  </w:endnote>
  <w:endnote w:type="continuationSeparator" w:id="0">
    <w:p w:rsidR="003E09E7" w:rsidRDefault="003E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47B8" w:rsidRDefault="006247B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247B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247B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247B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247B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F561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247B8">
    <w:pPr>
      <w:pStyle w:val="ab"/>
      <w:jc w:val="right"/>
    </w:pPr>
    <w:sdt>
      <w:sdtPr>
        <w:id w:val="1047723189"/>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F561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9E7" w:rsidRDefault="003E09E7">
      <w:pPr>
        <w:spacing w:after="0" w:line="240" w:lineRule="auto"/>
      </w:pPr>
      <w:r>
        <w:separator/>
      </w:r>
    </w:p>
  </w:footnote>
  <w:footnote w:type="continuationSeparator" w:id="0">
    <w:p w:rsidR="003E09E7" w:rsidRDefault="003E09E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47B8" w:rsidRDefault="006247B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47B8" w:rsidRDefault="006247B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47B8" w:rsidRDefault="006247B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710962"/>
    <w:multiLevelType w:val="hybridMultilevel"/>
    <w:tmpl w:val="0ADE3B72"/>
    <w:lvl w:ilvl="0" w:tplc="42B0BA32">
      <w:start w:val="1"/>
      <w:numFmt w:val="decimal"/>
      <w:lvlText w:val="%1."/>
      <w:lvlJc w:val="left"/>
      <w:pPr>
        <w:ind w:left="855" w:hanging="855"/>
      </w:pPr>
      <w:rPr>
        <w:rFonts w:hint="default"/>
        <w:color w:val="00000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9E7"/>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47B8"/>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8F561F"/>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31B9"/>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0415"/>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163A"/>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BB3A-35F4-40C0-93A4-7CF0E9CC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2026-06-25T05:41:00Z</dcterms:created>
  <dcterms:modified xsi:type="dcterms:W3CDTF">2026-06-25T05:41:00Z</dcterms:modified>
</cp:coreProperties>
</file>