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18.04.2025 № 05-07/754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72A9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84"/>
        <w:gridCol w:w="2093"/>
        <w:gridCol w:w="1435"/>
        <w:gridCol w:w="7011"/>
        <w:gridCol w:w="708"/>
        <w:gridCol w:w="852"/>
        <w:gridCol w:w="992"/>
        <w:gridCol w:w="708"/>
        <w:gridCol w:w="715"/>
        <w:gridCol w:w="951"/>
      </w:tblGrid>
      <w:tr w:rsidR="00366CE5" w:rsidRPr="00366CE5" w:rsidTr="00366CE5">
        <w:trPr>
          <w:trHeight w:val="402"/>
        </w:trPr>
        <w:tc>
          <w:tcPr>
            <w:tcW w:w="152" w:type="pct"/>
            <w:tcBorders>
              <w:top w:val="single" w:sz="8" w:space="0" w:color="auto"/>
              <w:left w:val="single" w:sz="8" w:space="0" w:color="auto"/>
              <w:bottom w:val="nil"/>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w:t>
            </w:r>
          </w:p>
        </w:tc>
        <w:tc>
          <w:tcPr>
            <w:tcW w:w="6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Наименование по заявке/Наименование по КТРУ</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Код позиции ОКПД2/КТРУ</w:t>
            </w:r>
          </w:p>
        </w:tc>
        <w:tc>
          <w:tcPr>
            <w:tcW w:w="219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Х</w:t>
            </w:r>
            <w:r w:rsidRPr="00366CE5">
              <w:rPr>
                <w:rFonts w:ascii="Times New Roman" w:eastAsia="Times New Roman" w:hAnsi="Times New Roman" w:cs="Times New Roman"/>
                <w:b/>
                <w:bCs/>
                <w:color w:val="000000"/>
                <w:sz w:val="20"/>
                <w:szCs w:val="20"/>
                <w:lang w:eastAsia="ru-RU"/>
              </w:rPr>
              <w:t>арактеристики Товара</w:t>
            </w:r>
          </w:p>
        </w:tc>
        <w:tc>
          <w:tcPr>
            <w:tcW w:w="222" w:type="pct"/>
            <w:tcBorders>
              <w:top w:val="single" w:sz="8" w:space="0" w:color="auto"/>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pacing w:val="4"/>
                <w:sz w:val="20"/>
                <w:szCs w:val="20"/>
                <w:lang w:eastAsia="ru-RU"/>
              </w:rPr>
              <w:t>Ед.</w:t>
            </w:r>
          </w:p>
        </w:tc>
        <w:tc>
          <w:tcPr>
            <w:tcW w:w="267" w:type="pct"/>
            <w:vMerge w:val="restart"/>
            <w:tcBorders>
              <w:top w:val="single" w:sz="8" w:space="0" w:color="auto"/>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pacing w:val="4"/>
                <w:sz w:val="20"/>
                <w:szCs w:val="20"/>
                <w:lang w:eastAsia="ru-RU"/>
              </w:rPr>
              <w:t>Кол-во</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Страна происхождения Товара</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Ставка НДС%</w:t>
            </w:r>
          </w:p>
        </w:tc>
        <w:tc>
          <w:tcPr>
            <w:tcW w:w="22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Цена за ед. без НДС</w:t>
            </w:r>
          </w:p>
        </w:tc>
        <w:tc>
          <w:tcPr>
            <w:tcW w:w="29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Сумма без НДС</w:t>
            </w:r>
          </w:p>
        </w:tc>
      </w:tr>
      <w:tr w:rsidR="00366CE5" w:rsidRPr="00366CE5" w:rsidTr="00366CE5">
        <w:trPr>
          <w:trHeight w:val="402"/>
        </w:trPr>
        <w:tc>
          <w:tcPr>
            <w:tcW w:w="152" w:type="pct"/>
            <w:tcBorders>
              <w:top w:val="nil"/>
              <w:left w:val="single" w:sz="8" w:space="0" w:color="auto"/>
              <w:bottom w:val="nil"/>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п/п</w:t>
            </w:r>
          </w:p>
        </w:tc>
        <w:tc>
          <w:tcPr>
            <w:tcW w:w="656"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2198"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222"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pacing w:val="4"/>
                <w:sz w:val="20"/>
                <w:szCs w:val="20"/>
                <w:lang w:eastAsia="ru-RU"/>
              </w:rPr>
              <w:t>изм.</w:t>
            </w:r>
          </w:p>
        </w:tc>
        <w:tc>
          <w:tcPr>
            <w:tcW w:w="267" w:type="pct"/>
            <w:vMerge/>
            <w:tcBorders>
              <w:top w:val="single" w:sz="8" w:space="0" w:color="auto"/>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tcBorders>
              <w:top w:val="nil"/>
              <w:left w:val="single" w:sz="8" w:space="0" w:color="auto"/>
              <w:bottom w:val="single" w:sz="8" w:space="0" w:color="auto"/>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656"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2198" w:type="pct"/>
            <w:vMerge/>
            <w:tcBorders>
              <w:top w:val="single" w:sz="8" w:space="0" w:color="auto"/>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222"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67" w:type="pct"/>
            <w:vMerge/>
            <w:tcBorders>
              <w:top w:val="single" w:sz="8" w:space="0" w:color="auto"/>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1</w:t>
            </w: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 xml:space="preserve">21.20.23.110 </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z w:val="20"/>
                <w:szCs w:val="20"/>
                <w:lang w:eastAsia="ru-RU"/>
              </w:rPr>
              <w:t>Изделие предназначено для количественного определения прокальцитонина электрохемилюминесцентным методом в сыворотке или плазме крови человека на анализаторах ECL для диагностики in vitro.</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8</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прокальцитонина (PCT)</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themeColor="text1"/>
                <w:sz w:val="20"/>
                <w:szCs w:val="2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- 4,0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- 4,0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- 4,0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- 4,0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nil"/>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tcBorders>
              <w:top w:val="nil"/>
              <w:left w:val="nil"/>
              <w:bottom w:val="single" w:sz="8" w:space="0" w:color="auto"/>
              <w:right w:val="single" w:sz="8" w:space="0" w:color="auto"/>
            </w:tcBorders>
            <w:shd w:val="clear" w:color="auto" w:fill="auto"/>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2</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тиреоглобулина Tg</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количественного определения тиреоглобулина</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2</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электрохемилюминесцентным методом в сыворотке или плазме крови человека на</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анализаторах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3</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антител к тиреоглобулину Anti-TG</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количественного определения антител к</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3</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тиреоглобулину электрохемилюминесцентным методом в сыворотке или плазме крови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человека на анализаторах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4</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общего бета-хорионического гонадотропина Total β-HCG</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количественного определения общего бета-</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6</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хорионического гонадотропина человека электрохемилюминесцентным методом 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сыворотке или плазме (с антикоагулянтами К2ЭДТА, цитрат натрия, гепарин лития 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xml:space="preserve">гепарин натрия) крови человека на анализаторах ECL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5</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антимюллерова гормона AMH</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количественного определения антимюллерова</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 xml:space="preserve">Упак. </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1</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гормона электрохемилюминесцентным методом в сыворотке или плазме крови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человека на анализаторах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- 2,0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- 2,0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- 2,0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- 2,0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6</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Набор реагентов для количественного определения общего 25-гидроксивитамина D  25-OH VD</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количественного определения общего 25-</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6</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гидроксивитамина D электрохемилюминесцентным методом в сыворотке или плазме</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крови человека на анализаторах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25-OH VD (MB, RA, RB)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Кассета с реагентами 25-OH VD (PT2, PT3)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Калибратор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(низкий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Материал контрольный (высокий уровень) – не менее - 1шт., объем не менее - 1,0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Этикетки для запечатывания флаконов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Этикетка результатов значений материалов контрольных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Количество тестов в кассете с реагентами - не менее - 100 тестов.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Стабильность вскрытого реагента</w:t>
            </w:r>
            <w:r w:rsidRPr="00366CE5">
              <w:rPr>
                <w:rFonts w:ascii="Times New Roman" w:eastAsia="Times New Roman" w:hAnsi="Times New Roman" w:cs="Times New Roman"/>
                <w:color w:val="000000"/>
                <w:sz w:val="20"/>
                <w:szCs w:val="20"/>
                <w:lang w:eastAsia="ru-RU"/>
              </w:rPr>
              <w:t xml:space="preserve"> </w:t>
            </w:r>
            <w:r w:rsidRPr="00366CE5">
              <w:rPr>
                <w:rFonts w:ascii="Times New Roman" w:eastAsia="Times New Roman" w:hAnsi="Times New Roman" w:cs="Times New Roman"/>
                <w:b/>
                <w:bCs/>
                <w:color w:val="000000"/>
                <w:sz w:val="20"/>
                <w:szCs w:val="20"/>
                <w:lang w:eastAsia="ru-RU"/>
              </w:rPr>
              <w:t>при температуре от 2</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 xml:space="preserve"> до 8</w:t>
            </w:r>
            <w:r w:rsidRPr="00366CE5">
              <w:rPr>
                <w:rFonts w:ascii="Times New Roman" w:eastAsia="Times New Roman" w:hAnsi="Times New Roman" w:cs="Times New Roman"/>
                <w:b/>
                <w:bCs/>
                <w:color w:val="000000"/>
                <w:sz w:val="20"/>
                <w:szCs w:val="20"/>
                <w:vertAlign w:val="superscript"/>
                <w:lang w:eastAsia="ru-RU"/>
              </w:rPr>
              <w:t>о</w:t>
            </w:r>
            <w:r w:rsidRPr="00366CE5">
              <w:rPr>
                <w:rFonts w:ascii="Times New Roman" w:eastAsia="Times New Roman" w:hAnsi="Times New Roman" w:cs="Times New Roman"/>
                <w:b/>
                <w:bCs/>
                <w:color w:val="000000"/>
                <w:sz w:val="20"/>
                <w:szCs w:val="20"/>
                <w:lang w:eastAsia="ru-RU"/>
              </w:rPr>
              <w:t>С</w:t>
            </w:r>
            <w:r w:rsidRPr="00366CE5">
              <w:rPr>
                <w:rFonts w:ascii="Times New Roman" w:eastAsia="Times New Roman" w:hAnsi="Times New Roman" w:cs="Times New Roman"/>
                <w:color w:val="000000"/>
                <w:sz w:val="20"/>
                <w:szCs w:val="20"/>
                <w:lang w:eastAsia="ru-RU"/>
              </w:rPr>
              <w:t xml:space="preserve"> не менее 28 дней </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jc w:val="both"/>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7</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очищающий (Auffer)</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очистки аспирационной иглы и измерительной</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6</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ячейки анализатора. Для совместного использования с автоматическими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электрохемилюминесцентными анализаторами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Ауфер – не менее - 6шт., объем не менее - 480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Силиконовая крышка – не менее -6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8</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промывочный (Buffer)</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использования во время проведения</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6</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электрохемилюминесцентного анализа для промывки неприсоединившихся образцов 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реагентов. Для совместного использования с автоматическими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электрохемилюминесцентными анализаторами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Буфер – не менее - 6шт., объем не менее - 480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Силиконовая крышка – не менее - 6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eastAsia="ru-RU"/>
              </w:rPr>
              <w:t>9</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буферный концентрированный промывочный (Concentrated Washing Buffer)</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21.20.23.110</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очистки иглы для образцов/реагентов анализатора.</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6</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Для совместного использования с автоматическими электрохемилюминесцентными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анализаторами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Реагент буферный концентрированный промывочный – 6шт., объем не менее - 1000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 New Roman" w:hAnsi="Times New Roman" w:cs="Times New Roman"/>
                <w:b/>
                <w:bCs/>
                <w:color w:val="000000"/>
                <w:sz w:val="20"/>
                <w:szCs w:val="20"/>
                <w:lang w:val="en-US" w:eastAsia="ru-RU"/>
              </w:rPr>
              <w:t>10</w:t>
            </w:r>
          </w:p>
        </w:tc>
        <w:tc>
          <w:tcPr>
            <w:tcW w:w="656"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b/>
                <w:bCs/>
                <w:color w:val="000000"/>
                <w:sz w:val="20"/>
                <w:szCs w:val="20"/>
                <w:lang w:eastAsia="ru-RU"/>
              </w:rPr>
            </w:pPr>
            <w:r w:rsidRPr="00366CE5">
              <w:rPr>
                <w:rFonts w:ascii="Times New Roman" w:eastAsia="TimesNewRomanPSMT" w:hAnsi="Times New Roman" w:cs="Times New Roman"/>
                <w:b/>
                <w:bCs/>
                <w:color w:val="000000"/>
                <w:sz w:val="20"/>
                <w:szCs w:val="20"/>
                <w:lang w:eastAsia="zh-TW"/>
              </w:rPr>
              <w:t>Реагент буферный для обслуживания измерительной ячейки (Measuring Cell Maintenance Buffer)</w:t>
            </w:r>
          </w:p>
        </w:tc>
        <w:tc>
          <w:tcPr>
            <w:tcW w:w="450" w:type="pct"/>
            <w:vMerge w:val="restart"/>
            <w:tcBorders>
              <w:top w:val="nil"/>
              <w:left w:val="single" w:sz="8" w:space="0" w:color="auto"/>
              <w:bottom w:val="single" w:sz="8" w:space="0" w:color="000000"/>
              <w:right w:val="single" w:sz="8" w:space="0" w:color="auto"/>
            </w:tcBorders>
            <w:shd w:val="clear" w:color="auto" w:fill="auto"/>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 </w:t>
            </w: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Изделие предназначено для очистки измерительной ячейки анализатора. Для</w:t>
            </w:r>
          </w:p>
        </w:tc>
        <w:tc>
          <w:tcPr>
            <w:tcW w:w="222" w:type="pct"/>
            <w:vMerge w:val="restart"/>
            <w:tcBorders>
              <w:top w:val="nil"/>
              <w:left w:val="single" w:sz="8" w:space="0" w:color="auto"/>
              <w:bottom w:val="single" w:sz="8" w:space="0" w:color="000000"/>
              <w:right w:val="single" w:sz="8" w:space="0" w:color="auto"/>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Упак.</w:t>
            </w:r>
          </w:p>
        </w:tc>
        <w:tc>
          <w:tcPr>
            <w:tcW w:w="267" w:type="pct"/>
            <w:vMerge w:val="restart"/>
            <w:tcBorders>
              <w:top w:val="nil"/>
              <w:left w:val="single" w:sz="8" w:space="0" w:color="auto"/>
              <w:bottom w:val="single" w:sz="8" w:space="0" w:color="000000"/>
              <w:right w:val="nil"/>
            </w:tcBorders>
            <w:shd w:val="clear" w:color="000000" w:fill="FFFFFF"/>
            <w:vAlign w:val="center"/>
            <w:hideMark/>
          </w:tcPr>
          <w:p w:rsidR="00366CE5" w:rsidRPr="00366CE5" w:rsidRDefault="00366CE5" w:rsidP="00366CE5">
            <w:pPr>
              <w:spacing w:after="0" w:line="240" w:lineRule="auto"/>
              <w:jc w:val="center"/>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bCs/>
                <w:color w:val="000000"/>
                <w:spacing w:val="4"/>
                <w:sz w:val="20"/>
                <w:szCs w:val="20"/>
                <w:lang w:eastAsia="ru-RU"/>
              </w:rPr>
              <w:t>1</w:t>
            </w: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c>
          <w:tcPr>
            <w:tcW w:w="298"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366CE5" w:rsidRPr="00366CE5" w:rsidRDefault="00366CE5" w:rsidP="00366CE5">
            <w:pPr>
              <w:spacing w:after="0" w:line="240" w:lineRule="auto"/>
              <w:jc w:val="center"/>
              <w:rPr>
                <w:rFonts w:ascii="Calibri" w:eastAsia="Times New Roman" w:hAnsi="Calibri" w:cs="Times New Roman"/>
                <w:color w:val="000000"/>
                <w:lang w:eastAsia="ru-RU"/>
              </w:rPr>
            </w:pPr>
            <w:r w:rsidRPr="00366CE5">
              <w:rPr>
                <w:rFonts w:ascii="Calibri" w:eastAsia="Times New Roman" w:hAnsi="Calibri" w:cs="Times New Roman"/>
                <w:color w:val="000000"/>
                <w:lang w:eastAsia="ru-RU"/>
              </w:rPr>
              <w:t> </w:t>
            </w: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совместного использования с автоматическими электрохемилюминесцентными</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анализаторами ECL для диагностики in vitro.</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Состав:</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Реагент буферный для обслуживания измерительной ячейки – не менее – 1 шт., объем не менее - 200 мл;</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NewRomanPSMT" w:hAnsi="Times New Roman" w:cs="Times New Roman"/>
                <w:color w:val="000000"/>
                <w:sz w:val="20"/>
                <w:szCs w:val="20"/>
              </w:rPr>
              <w:t>- Инструкция по применению – не менее - 1 шт.</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nil"/>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обусловлены имеющимся у заказчика оборудованием, автоматическом электрохемилюминесцентном анализаторе Lifotronic eCL8000</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r w:rsidR="00366CE5" w:rsidRPr="00366CE5" w:rsidTr="00366CE5">
        <w:trPr>
          <w:trHeight w:val="402"/>
        </w:trPr>
        <w:tc>
          <w:tcPr>
            <w:tcW w:w="15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656"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b/>
                <w:bCs/>
                <w:color w:val="000000"/>
                <w:sz w:val="20"/>
                <w:szCs w:val="20"/>
                <w:lang w:eastAsia="ru-RU"/>
              </w:rPr>
            </w:pPr>
          </w:p>
        </w:tc>
        <w:tc>
          <w:tcPr>
            <w:tcW w:w="450"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198" w:type="pct"/>
            <w:tcBorders>
              <w:top w:val="nil"/>
              <w:left w:val="nil"/>
              <w:bottom w:val="single" w:sz="8" w:space="0" w:color="auto"/>
              <w:right w:val="single" w:sz="8" w:space="0" w:color="auto"/>
            </w:tcBorders>
            <w:shd w:val="clear" w:color="000000" w:fill="FFFFFF"/>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r w:rsidRPr="00366CE5">
              <w:rPr>
                <w:rFonts w:ascii="Times New Roman" w:eastAsia="Times New Roman" w:hAnsi="Times New Roman" w:cs="Times New Roman"/>
                <w:color w:val="000000"/>
                <w:sz w:val="20"/>
                <w:szCs w:val="20"/>
                <w:lang w:eastAsia="ru-RU"/>
              </w:rPr>
              <w:t>Характеристики включают наименование и описание товара, а также дополнительные потребительские свойства, в том числе функциональные, технические, качественные, эксплуатационные характеристики товара, т.к. Заказчиком определена потребность в конкретном товаре в рамках оказания высокотехнологичной медицинской помощи по профилю медицинской деятельности и с учетом специфики работы учреждения.</w:t>
            </w:r>
          </w:p>
        </w:tc>
        <w:tc>
          <w:tcPr>
            <w:tcW w:w="222" w:type="pct"/>
            <w:vMerge/>
            <w:tcBorders>
              <w:top w:val="nil"/>
              <w:left w:val="single" w:sz="8" w:space="0" w:color="auto"/>
              <w:bottom w:val="single" w:sz="8" w:space="0" w:color="000000"/>
              <w:right w:val="single" w:sz="8" w:space="0" w:color="auto"/>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8" w:space="0" w:color="auto"/>
              <w:bottom w:val="single" w:sz="8" w:space="0" w:color="000000"/>
              <w:right w:val="nil"/>
            </w:tcBorders>
            <w:vAlign w:val="center"/>
            <w:hideMark/>
          </w:tcPr>
          <w:p w:rsidR="00366CE5" w:rsidRPr="00366CE5" w:rsidRDefault="00366CE5" w:rsidP="00366CE5">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c>
          <w:tcPr>
            <w:tcW w:w="298" w:type="pct"/>
            <w:vMerge/>
            <w:tcBorders>
              <w:top w:val="nil"/>
              <w:left w:val="single" w:sz="4" w:space="0" w:color="auto"/>
              <w:bottom w:val="single" w:sz="4" w:space="0" w:color="000000"/>
              <w:right w:val="single" w:sz="4" w:space="0" w:color="auto"/>
            </w:tcBorders>
            <w:vAlign w:val="center"/>
            <w:hideMark/>
          </w:tcPr>
          <w:p w:rsidR="00366CE5" w:rsidRPr="00366CE5" w:rsidRDefault="00366CE5" w:rsidP="00366CE5">
            <w:pPr>
              <w:spacing w:after="0" w:line="240" w:lineRule="auto"/>
              <w:rPr>
                <w:rFonts w:ascii="Calibri" w:eastAsia="Times New Roman" w:hAnsi="Calibri"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366CE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796" w:rsidRDefault="00B45796">
      <w:pPr>
        <w:spacing w:after="0" w:line="240" w:lineRule="auto"/>
      </w:pPr>
      <w:r>
        <w:separator/>
      </w:r>
    </w:p>
  </w:endnote>
  <w:endnote w:type="continuationSeparator" w:id="0">
    <w:p w:rsidR="00B45796" w:rsidRDefault="00B4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A90" w:rsidRDefault="00072A9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2A9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72A9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72A9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2A9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72A9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66CE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796" w:rsidRDefault="00B45796">
      <w:pPr>
        <w:spacing w:after="0" w:line="240" w:lineRule="auto"/>
      </w:pPr>
      <w:r>
        <w:separator/>
      </w:r>
    </w:p>
  </w:footnote>
  <w:footnote w:type="continuationSeparator" w:id="0">
    <w:p w:rsidR="00B45796" w:rsidRDefault="00B4579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A90" w:rsidRDefault="00072A9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A90" w:rsidRDefault="00072A9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72A90" w:rsidRDefault="00072A9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2A90"/>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6CE5"/>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5796"/>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366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366CE5"/>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0"/>
    <w:rsid w:val="00366C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0"/>
    <w:rsid w:val="00366CE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0"/>
    <w:rsid w:val="00366CE5"/>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3">
    <w:name w:val="xl63"/>
    <w:basedOn w:val="a0"/>
    <w:rsid w:val="00366CE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4">
    <w:name w:val="xl64"/>
    <w:basedOn w:val="a0"/>
    <w:rsid w:val="00366CE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5">
    <w:name w:val="xl65"/>
    <w:basedOn w:val="a0"/>
    <w:rsid w:val="00366CE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366CE5"/>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0"/>
    <w:rsid w:val="00366CE5"/>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0"/>
    <w:rsid w:val="00366CE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366CE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366CE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0"/>
    <w:rsid w:val="00366CE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366CE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366CE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366CE5"/>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366CE5"/>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6">
    <w:name w:val="xl76"/>
    <w:basedOn w:val="a0"/>
    <w:rsid w:val="00366CE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366CE5"/>
    <w:pPr>
      <w:pBdr>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366CE5"/>
    <w:pPr>
      <w:pBdr>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79">
    <w:name w:val="xl79"/>
    <w:basedOn w:val="a0"/>
    <w:rsid w:val="00366CE5"/>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80">
    <w:name w:val="xl80"/>
    <w:basedOn w:val="a0"/>
    <w:rsid w:val="00366CE5"/>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366CE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0"/>
    <w:rsid w:val="00366C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366C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0"/>
    <w:rsid w:val="00366C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0"/>
    <w:rsid w:val="00366CE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366CE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rsid w:val="00366CE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0"/>
    <w:rsid w:val="00366CE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366CE5"/>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366CE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rsid w:val="00366CE5"/>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2">
    <w:name w:val="xl92"/>
    <w:basedOn w:val="a0"/>
    <w:rsid w:val="00366CE5"/>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3">
    <w:name w:val="xl93"/>
    <w:basedOn w:val="a0"/>
    <w:rsid w:val="00366CE5"/>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0"/>
    <w:rsid w:val="00366CE5"/>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0"/>
    <w:rsid w:val="00366CE5"/>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0"/>
    <w:rsid w:val="00366CE5"/>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366CE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0"/>
    <w:rsid w:val="00366CE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366CE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76699825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77E6-1489-42AC-94E9-C72AF4DE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2025-04-18T05:16:00Z</dcterms:created>
  <dcterms:modified xsi:type="dcterms:W3CDTF">2025-04-18T05:16:00Z</dcterms:modified>
</cp:coreProperties>
</file>