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EA9EF99" wp14:editId="0859BF8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05-07/325</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AB133D" w:rsidP="00637F5D">
            <w:pPr>
              <w:spacing w:after="0" w:line="240" w:lineRule="auto"/>
              <w:ind w:firstLine="567"/>
              <w:jc w:val="both"/>
              <w:rPr>
                <w:rFonts w:ascii="Times New Roman" w:hAnsi="Times New Roman"/>
                <w:sz w:val="24"/>
                <w:szCs w:val="24"/>
              </w:rPr>
            </w:pPr>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r w:rsidRPr="00E572CB">
              <w:rPr>
                <w:rFonts w:ascii="Times New Roman" w:eastAsia="Times New Roman" w:hAnsi="Times New Roman" w:cs="Times New Roman"/>
                <w:b/>
                <w:sz w:val="24"/>
                <w:szCs w:val="24"/>
              </w:rPr>
              <w:t>4399541@niioncologii.ru</w:t>
            </w:r>
            <w:r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F5C0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79"/>
        <w:gridCol w:w="927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и реагентов для патологоанатомического отделения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29.05.2020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Договора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5 (пяти) календарных дней с момента подписания Договора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(одна) партия</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и безопасность продукции (сертификаты, декларации соответствия на товары).  Регистрационные удостоверения на медицинские изделия.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DB6933"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235"/>
        <w:gridCol w:w="4395"/>
        <w:gridCol w:w="849"/>
        <w:gridCol w:w="1418"/>
        <w:gridCol w:w="711"/>
        <w:gridCol w:w="1688"/>
        <w:gridCol w:w="714"/>
        <w:gridCol w:w="817"/>
        <w:gridCol w:w="1305"/>
        <w:gridCol w:w="1379"/>
      </w:tblGrid>
      <w:tr w:rsidR="00DB6933" w:rsidRPr="00E700A8" w:rsidTr="00DB6933">
        <w:trPr>
          <w:trHeight w:val="20"/>
        </w:trPr>
        <w:tc>
          <w:tcPr>
            <w:tcW w:w="176" w:type="pct"/>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п/н</w:t>
            </w:r>
          </w:p>
        </w:tc>
        <w:tc>
          <w:tcPr>
            <w:tcW w:w="695" w:type="pct"/>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 xml:space="preserve">Наименование Товара </w:t>
            </w:r>
          </w:p>
        </w:tc>
        <w:tc>
          <w:tcPr>
            <w:tcW w:w="1367" w:type="pct"/>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 xml:space="preserve">Технические характеристики </w:t>
            </w:r>
          </w:p>
        </w:tc>
        <w:tc>
          <w:tcPr>
            <w:tcW w:w="264" w:type="pct"/>
            <w:vAlign w:val="center"/>
            <w:hideMark/>
          </w:tcPr>
          <w:p w:rsidR="00DB6933" w:rsidRPr="00E700A8" w:rsidRDefault="00DB6933" w:rsidP="007544C0">
            <w:pPr>
              <w:spacing w:after="0" w:line="240" w:lineRule="auto"/>
              <w:jc w:val="center"/>
              <w:rPr>
                <w:rFonts w:ascii="Times New Roman" w:hAnsi="Times New Roman" w:cs="Times New Roman"/>
              </w:rPr>
            </w:pPr>
            <w:r w:rsidRPr="00E700A8">
              <w:rPr>
                <w:rFonts w:ascii="Times New Roman" w:hAnsi="Times New Roman" w:cs="Times New Roman"/>
              </w:rPr>
              <w:t>Ед.</w:t>
            </w:r>
          </w:p>
          <w:p w:rsidR="00DB6933" w:rsidRPr="00E700A8" w:rsidRDefault="00DB6933" w:rsidP="007544C0">
            <w:pPr>
              <w:spacing w:after="0" w:line="240" w:lineRule="auto"/>
              <w:jc w:val="center"/>
              <w:rPr>
                <w:rFonts w:ascii="Times New Roman" w:hAnsi="Times New Roman" w:cs="Times New Roman"/>
              </w:rPr>
            </w:pPr>
            <w:r w:rsidRPr="00E700A8">
              <w:rPr>
                <w:rFonts w:ascii="Times New Roman" w:hAnsi="Times New Roman" w:cs="Times New Roman"/>
              </w:rPr>
              <w:t>изм</w:t>
            </w:r>
          </w:p>
        </w:tc>
        <w:tc>
          <w:tcPr>
            <w:tcW w:w="441" w:type="pct"/>
            <w:vAlign w:val="center"/>
            <w:hideMark/>
          </w:tcPr>
          <w:p w:rsidR="00DB6933" w:rsidRPr="00E700A8" w:rsidRDefault="00DB6933" w:rsidP="00DB6933">
            <w:pPr>
              <w:spacing w:after="0" w:line="240" w:lineRule="auto"/>
              <w:jc w:val="center"/>
              <w:rPr>
                <w:rFonts w:ascii="Times New Roman" w:hAnsi="Times New Roman" w:cs="Times New Roman"/>
              </w:rPr>
            </w:pPr>
            <w:r w:rsidRPr="00E700A8">
              <w:rPr>
                <w:rFonts w:ascii="Times New Roman" w:hAnsi="Times New Roman" w:cs="Times New Roman"/>
              </w:rPr>
              <w:t>ОКПД2</w:t>
            </w:r>
          </w:p>
          <w:p w:rsidR="00DB6933" w:rsidRPr="00E700A8" w:rsidRDefault="00DB6933" w:rsidP="007544C0">
            <w:pPr>
              <w:spacing w:after="0" w:line="240" w:lineRule="auto"/>
              <w:jc w:val="center"/>
              <w:rPr>
                <w:rFonts w:ascii="Times New Roman" w:hAnsi="Times New Roman" w:cs="Times New Roman"/>
              </w:rPr>
            </w:pPr>
          </w:p>
        </w:tc>
        <w:tc>
          <w:tcPr>
            <w:tcW w:w="221" w:type="pct"/>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Кол-во</w:t>
            </w:r>
          </w:p>
        </w:tc>
        <w:tc>
          <w:tcPr>
            <w:tcW w:w="525" w:type="pct"/>
            <w:shd w:val="clear" w:color="auto" w:fill="FFFF00"/>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Страна происхождения</w:t>
            </w:r>
          </w:p>
        </w:tc>
        <w:tc>
          <w:tcPr>
            <w:tcW w:w="222" w:type="pct"/>
            <w:shd w:val="clear" w:color="auto" w:fill="FFFF00"/>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НДС %</w:t>
            </w:r>
          </w:p>
        </w:tc>
        <w:tc>
          <w:tcPr>
            <w:tcW w:w="254" w:type="pct"/>
            <w:shd w:val="clear" w:color="auto" w:fill="FFFF00"/>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НДС (руб.)</w:t>
            </w:r>
          </w:p>
        </w:tc>
        <w:tc>
          <w:tcPr>
            <w:tcW w:w="406" w:type="pct"/>
            <w:shd w:val="clear" w:color="auto" w:fill="FFFF00"/>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Цена за ед. Товара (руб.)</w:t>
            </w:r>
          </w:p>
        </w:tc>
        <w:tc>
          <w:tcPr>
            <w:tcW w:w="429" w:type="pct"/>
            <w:shd w:val="clear" w:color="auto" w:fill="FFFF00"/>
            <w:vAlign w:val="center"/>
            <w:hideMark/>
          </w:tcPr>
          <w:p w:rsidR="00DB6933" w:rsidRPr="00E700A8" w:rsidRDefault="00DB6933" w:rsidP="007544C0">
            <w:pPr>
              <w:spacing w:line="240" w:lineRule="auto"/>
              <w:jc w:val="center"/>
              <w:rPr>
                <w:rFonts w:ascii="Times New Roman" w:hAnsi="Times New Roman" w:cs="Times New Roman"/>
              </w:rPr>
            </w:pPr>
            <w:r w:rsidRPr="00E700A8">
              <w:rPr>
                <w:rFonts w:ascii="Times New Roman" w:hAnsi="Times New Roman" w:cs="Times New Roman"/>
              </w:rPr>
              <w:t>Сумма (руб.)</w:t>
            </w:r>
          </w:p>
        </w:tc>
      </w:tr>
      <w:tr w:rsidR="00DB6933" w:rsidRPr="00E700A8" w:rsidTr="00DB6933">
        <w:trPr>
          <w:trHeight w:val="20"/>
        </w:trPr>
        <w:tc>
          <w:tcPr>
            <w:tcW w:w="176" w:type="pct"/>
          </w:tcPr>
          <w:p w:rsidR="00DB6933" w:rsidRPr="00DB6933" w:rsidRDefault="00DB6933" w:rsidP="007544C0">
            <w:pPr>
              <w:spacing w:line="240" w:lineRule="auto"/>
              <w:jc w:val="center"/>
              <w:rPr>
                <w:rFonts w:ascii="Times New Roman" w:hAnsi="Times New Roman" w:cs="Times New Roman"/>
              </w:rPr>
            </w:pPr>
            <w:r w:rsidRPr="00DB6933">
              <w:rPr>
                <w:rFonts w:ascii="Times New Roman" w:hAnsi="Times New Roman" w:cs="Times New Roman"/>
              </w:rPr>
              <w:t>1</w:t>
            </w:r>
          </w:p>
        </w:tc>
        <w:tc>
          <w:tcPr>
            <w:tcW w:w="695" w:type="pct"/>
          </w:tcPr>
          <w:p w:rsidR="00DB6933" w:rsidRPr="00DB6933" w:rsidRDefault="00DB6933" w:rsidP="007544C0">
            <w:pPr>
              <w:spacing w:line="240" w:lineRule="auto"/>
              <w:rPr>
                <w:rFonts w:ascii="Times New Roman" w:hAnsi="Times New Roman" w:cs="Times New Roman"/>
              </w:rPr>
            </w:pPr>
            <w:r w:rsidRPr="00DB6933">
              <w:rPr>
                <w:rFonts w:ascii="Times New Roman" w:hAnsi="Times New Roman" w:cs="Times New Roman"/>
              </w:rPr>
              <w:t>Антитела (CINtec гистология) к p16 250 тестов</w:t>
            </w:r>
          </w:p>
        </w:tc>
        <w:tc>
          <w:tcPr>
            <w:tcW w:w="1367" w:type="pct"/>
          </w:tcPr>
          <w:p w:rsidR="00DB6933" w:rsidRPr="00DB6933" w:rsidRDefault="00DB6933" w:rsidP="00DB6933">
            <w:pPr>
              <w:spacing w:after="0" w:line="240" w:lineRule="auto"/>
              <w:rPr>
                <w:rFonts w:ascii="Times New Roman" w:hAnsi="Times New Roman" w:cs="Times New Roman"/>
              </w:rPr>
            </w:pPr>
            <w:r w:rsidRPr="00DB6933">
              <w:rPr>
                <w:rFonts w:ascii="Times New Roman" w:hAnsi="Times New Roman" w:cs="Times New Roman"/>
              </w:rPr>
              <w:t>Набор реагентов и других связанных с ними материалов, предназначенный для качественного и количественного определения антигена p16 (p16 antigen) в клиническом образце методом ферментного иммуногистохимического окрашивания.</w:t>
            </w:r>
          </w:p>
          <w:p w:rsidR="00DB6933" w:rsidRPr="00DB6933" w:rsidRDefault="00DB6933" w:rsidP="00DB6933">
            <w:pPr>
              <w:spacing w:after="0" w:line="240" w:lineRule="auto"/>
              <w:rPr>
                <w:rFonts w:ascii="Times New Roman" w:hAnsi="Times New Roman" w:cs="Times New Roman"/>
              </w:rPr>
            </w:pPr>
            <w:r w:rsidRPr="00DB6933">
              <w:rPr>
                <w:rFonts w:ascii="Times New Roman" w:hAnsi="Times New Roman" w:cs="Times New Roman"/>
              </w:rPr>
              <w:t xml:space="preserve">Предназначены для проведения in vitro диагностики методом иммуногистохимического анализа на парафиновых срезах фиксированного в формалине материала (в соответствии с приказом Минздрава России от 24.03.2016 N 179н (ред. от 25.03.2019) "О Правилах проведения патолого-анатомических исследований" (Зарегистрировано в Минюсте России 14.04.2016 N 41799), с дополнением от 25.03.2019 года.  Пункт 17.1.) при помощи автоматического устройства Ventana BenchMark, установленного у Заказчика. </w:t>
            </w:r>
          </w:p>
          <w:p w:rsidR="00DB6933" w:rsidRPr="00DB6933" w:rsidRDefault="00DB6933" w:rsidP="00DB6933">
            <w:pPr>
              <w:spacing w:after="0" w:line="240" w:lineRule="auto"/>
              <w:rPr>
                <w:rFonts w:ascii="Times New Roman" w:hAnsi="Times New Roman" w:cs="Times New Roman"/>
              </w:rPr>
            </w:pPr>
            <w:r w:rsidRPr="00DB6933">
              <w:rPr>
                <w:rFonts w:ascii="Times New Roman" w:hAnsi="Times New Roman" w:cs="Times New Roman"/>
              </w:rPr>
              <w:t>Формат упаковки диспенсер на 25 мл для выполнения 250 исследований. Объем обусловлен потребностью Заказчика для  обеспечения бесперебойной работы оборудования, используемого Заказчиком.</w:t>
            </w:r>
          </w:p>
        </w:tc>
        <w:tc>
          <w:tcPr>
            <w:tcW w:w="264" w:type="pct"/>
          </w:tcPr>
          <w:p w:rsidR="00DB6933" w:rsidRPr="00DB6933" w:rsidRDefault="00DB6933" w:rsidP="0024211D">
            <w:pPr>
              <w:spacing w:line="240" w:lineRule="auto"/>
              <w:jc w:val="center"/>
              <w:rPr>
                <w:rFonts w:ascii="Times New Roman" w:hAnsi="Times New Roman" w:cs="Times New Roman"/>
              </w:rPr>
            </w:pPr>
            <w:r w:rsidRPr="00DB6933">
              <w:rPr>
                <w:rFonts w:ascii="Times New Roman" w:hAnsi="Times New Roman" w:cs="Times New Roman"/>
              </w:rPr>
              <w:t>набор</w:t>
            </w:r>
          </w:p>
        </w:tc>
        <w:tc>
          <w:tcPr>
            <w:tcW w:w="441" w:type="pct"/>
          </w:tcPr>
          <w:p w:rsidR="00DB6933" w:rsidRPr="00DB6933" w:rsidRDefault="00DB6933" w:rsidP="00DB6933">
            <w:pPr>
              <w:spacing w:line="240" w:lineRule="auto"/>
              <w:jc w:val="center"/>
              <w:rPr>
                <w:rFonts w:ascii="Times New Roman" w:hAnsi="Times New Roman" w:cs="Times New Roman"/>
              </w:rPr>
            </w:pPr>
            <w:r w:rsidRPr="00DB6933">
              <w:rPr>
                <w:rFonts w:ascii="Times New Roman" w:hAnsi="Times New Roman" w:cs="Times New Roman"/>
              </w:rPr>
              <w:t>21.20.23.110</w:t>
            </w:r>
          </w:p>
        </w:tc>
        <w:tc>
          <w:tcPr>
            <w:tcW w:w="221" w:type="pct"/>
          </w:tcPr>
          <w:p w:rsidR="00DB6933" w:rsidRPr="00DB6933" w:rsidRDefault="00DB6933" w:rsidP="007544C0">
            <w:pPr>
              <w:spacing w:line="240" w:lineRule="auto"/>
              <w:jc w:val="center"/>
              <w:rPr>
                <w:rFonts w:ascii="Times New Roman" w:hAnsi="Times New Roman" w:cs="Times New Roman"/>
              </w:rPr>
            </w:pPr>
            <w:r>
              <w:rPr>
                <w:rFonts w:ascii="Times New Roman" w:hAnsi="Times New Roman" w:cs="Times New Roman"/>
              </w:rPr>
              <w:t>1</w:t>
            </w:r>
          </w:p>
        </w:tc>
        <w:tc>
          <w:tcPr>
            <w:tcW w:w="525" w:type="pct"/>
            <w:shd w:val="clear" w:color="auto" w:fill="FFFF00"/>
          </w:tcPr>
          <w:p w:rsidR="00DB6933" w:rsidRPr="00DB6933" w:rsidRDefault="00DB6933" w:rsidP="007544C0">
            <w:pPr>
              <w:spacing w:line="240" w:lineRule="auto"/>
              <w:jc w:val="center"/>
              <w:rPr>
                <w:rFonts w:ascii="Times New Roman" w:hAnsi="Times New Roman" w:cs="Times New Roman"/>
              </w:rPr>
            </w:pPr>
          </w:p>
        </w:tc>
        <w:tc>
          <w:tcPr>
            <w:tcW w:w="222" w:type="pct"/>
            <w:shd w:val="clear" w:color="auto" w:fill="FFFF00"/>
          </w:tcPr>
          <w:p w:rsidR="00DB6933" w:rsidRPr="00E700A8" w:rsidRDefault="00DB6933" w:rsidP="007544C0">
            <w:pPr>
              <w:spacing w:line="240" w:lineRule="auto"/>
              <w:jc w:val="center"/>
              <w:rPr>
                <w:rFonts w:ascii="Times New Roman" w:hAnsi="Times New Roman" w:cs="Times New Roman"/>
              </w:rPr>
            </w:pPr>
          </w:p>
        </w:tc>
        <w:tc>
          <w:tcPr>
            <w:tcW w:w="254" w:type="pct"/>
            <w:shd w:val="clear" w:color="auto" w:fill="FFFF00"/>
          </w:tcPr>
          <w:p w:rsidR="00DB6933" w:rsidRPr="00E700A8" w:rsidRDefault="00DB6933" w:rsidP="007544C0">
            <w:pPr>
              <w:spacing w:line="240" w:lineRule="auto"/>
              <w:jc w:val="center"/>
              <w:rPr>
                <w:rFonts w:ascii="Times New Roman" w:hAnsi="Times New Roman" w:cs="Times New Roman"/>
              </w:rPr>
            </w:pPr>
          </w:p>
        </w:tc>
        <w:tc>
          <w:tcPr>
            <w:tcW w:w="406" w:type="pct"/>
            <w:shd w:val="clear" w:color="auto" w:fill="FFFF00"/>
          </w:tcPr>
          <w:p w:rsidR="00DB6933" w:rsidRPr="00E700A8" w:rsidRDefault="00DB6933" w:rsidP="007544C0">
            <w:pPr>
              <w:spacing w:line="240" w:lineRule="auto"/>
              <w:jc w:val="right"/>
              <w:rPr>
                <w:rFonts w:ascii="Times New Roman" w:hAnsi="Times New Roman" w:cs="Times New Roman"/>
              </w:rPr>
            </w:pPr>
          </w:p>
        </w:tc>
        <w:tc>
          <w:tcPr>
            <w:tcW w:w="429" w:type="pct"/>
            <w:shd w:val="clear" w:color="auto" w:fill="FFFF00"/>
          </w:tcPr>
          <w:p w:rsidR="00DB6933" w:rsidRPr="00E700A8" w:rsidRDefault="00DB6933" w:rsidP="007544C0">
            <w:pPr>
              <w:spacing w:line="240" w:lineRule="auto"/>
              <w:jc w:val="right"/>
              <w:rPr>
                <w:rFonts w:ascii="Times New Roman" w:hAnsi="Times New Roman" w:cs="Times New Roman"/>
              </w:rPr>
            </w:pPr>
          </w:p>
        </w:tc>
      </w:tr>
      <w:tr w:rsidR="00DB6933" w:rsidRPr="00E700A8" w:rsidTr="00DB6933">
        <w:trPr>
          <w:trHeight w:val="20"/>
        </w:trPr>
        <w:tc>
          <w:tcPr>
            <w:tcW w:w="176" w:type="pct"/>
          </w:tcPr>
          <w:p w:rsidR="00DB6933" w:rsidRPr="00DB6933" w:rsidRDefault="00DB6933" w:rsidP="007544C0">
            <w:pPr>
              <w:spacing w:line="240" w:lineRule="auto"/>
              <w:jc w:val="center"/>
              <w:rPr>
                <w:rFonts w:ascii="Times New Roman" w:hAnsi="Times New Roman" w:cs="Times New Roman"/>
              </w:rPr>
            </w:pPr>
            <w:r w:rsidRPr="00DB6933">
              <w:rPr>
                <w:rFonts w:ascii="Times New Roman" w:hAnsi="Times New Roman" w:cs="Times New Roman"/>
              </w:rPr>
              <w:t>2</w:t>
            </w:r>
          </w:p>
        </w:tc>
        <w:tc>
          <w:tcPr>
            <w:tcW w:w="695" w:type="pct"/>
          </w:tcPr>
          <w:p w:rsidR="00DB6933" w:rsidRPr="00DB6933" w:rsidRDefault="00DB6933" w:rsidP="007544C0">
            <w:pPr>
              <w:spacing w:after="0" w:line="240" w:lineRule="auto"/>
              <w:rPr>
                <w:rFonts w:ascii="Times New Roman" w:hAnsi="Times New Roman" w:cs="Times New Roman"/>
              </w:rPr>
            </w:pPr>
            <w:r w:rsidRPr="00DB6933">
              <w:rPr>
                <w:rFonts w:ascii="Times New Roman" w:hAnsi="Times New Roman" w:cs="Times New Roman"/>
              </w:rPr>
              <w:t>Раствор для проведения депарафинизации концентрированный 2л EZ Prep Concentrate (10X)</w:t>
            </w:r>
          </w:p>
        </w:tc>
        <w:tc>
          <w:tcPr>
            <w:tcW w:w="1367" w:type="pct"/>
          </w:tcPr>
          <w:p w:rsidR="00DB6933" w:rsidRPr="00DB6933" w:rsidRDefault="00DB6933" w:rsidP="007544C0">
            <w:pPr>
              <w:spacing w:after="0" w:line="240" w:lineRule="auto"/>
              <w:rPr>
                <w:rFonts w:ascii="Times New Roman" w:hAnsi="Times New Roman" w:cs="Times New Roman"/>
              </w:rPr>
            </w:pPr>
            <w:r w:rsidRPr="00DB6933">
              <w:rPr>
                <w:rFonts w:ascii="Times New Roman" w:hAnsi="Times New Roman" w:cs="Times New Roman"/>
              </w:rPr>
              <w:t>Раствор мягкого моющего средства на водной основе. Концентрат 10Х. Рабочая концентрация 1Х. Фасовка 2л.</w:t>
            </w:r>
            <w:r w:rsidRPr="00DB6933">
              <w:rPr>
                <w:rFonts w:ascii="Times New Roman" w:hAnsi="Times New Roman" w:cs="Times New Roman"/>
              </w:rPr>
              <w:br/>
              <w:t>Служит  для удаления парафина с образцов тканей в ходе иммуногистохимических реакций и реакций гибридизации in situ и для разбавления концентрата буфера для денатурации SSC. Предназначен для проведения in vitro диагностики методом иммуногистохимического анализа на парафиновых срезах фиксированного в формалине материала при помощи автоматических устройств Ventana BenchMark, имеющихся у Заказчика.</w:t>
            </w:r>
          </w:p>
        </w:tc>
        <w:tc>
          <w:tcPr>
            <w:tcW w:w="264" w:type="pct"/>
          </w:tcPr>
          <w:p w:rsidR="00DB6933" w:rsidRPr="00DB6933" w:rsidRDefault="00DB6933" w:rsidP="0024211D">
            <w:pPr>
              <w:spacing w:line="240" w:lineRule="auto"/>
              <w:jc w:val="center"/>
              <w:rPr>
                <w:rFonts w:ascii="Times New Roman" w:hAnsi="Times New Roman" w:cs="Times New Roman"/>
              </w:rPr>
            </w:pPr>
            <w:r w:rsidRPr="00DB6933">
              <w:rPr>
                <w:rFonts w:ascii="Times New Roman" w:hAnsi="Times New Roman" w:cs="Times New Roman"/>
              </w:rPr>
              <w:t>шт</w:t>
            </w:r>
          </w:p>
        </w:tc>
        <w:tc>
          <w:tcPr>
            <w:tcW w:w="441" w:type="pct"/>
          </w:tcPr>
          <w:p w:rsidR="00DB6933" w:rsidRPr="00DB6933" w:rsidRDefault="00DB6933" w:rsidP="0024211D">
            <w:pPr>
              <w:spacing w:line="240" w:lineRule="auto"/>
              <w:jc w:val="center"/>
              <w:rPr>
                <w:rFonts w:ascii="Times New Roman" w:hAnsi="Times New Roman" w:cs="Times New Roman"/>
              </w:rPr>
            </w:pPr>
            <w:r w:rsidRPr="00DB6933">
              <w:rPr>
                <w:rFonts w:ascii="Times New Roman" w:hAnsi="Times New Roman" w:cs="Times New Roman"/>
              </w:rPr>
              <w:t>20.59.52.199</w:t>
            </w:r>
          </w:p>
        </w:tc>
        <w:tc>
          <w:tcPr>
            <w:tcW w:w="221" w:type="pct"/>
          </w:tcPr>
          <w:p w:rsidR="00DB6933" w:rsidRPr="00DB6933" w:rsidRDefault="00DB6933" w:rsidP="007544C0">
            <w:pPr>
              <w:spacing w:line="240" w:lineRule="auto"/>
              <w:jc w:val="center"/>
              <w:rPr>
                <w:rFonts w:ascii="Times New Roman" w:hAnsi="Times New Roman" w:cs="Times New Roman"/>
              </w:rPr>
            </w:pPr>
            <w:r>
              <w:rPr>
                <w:rFonts w:ascii="Times New Roman" w:hAnsi="Times New Roman" w:cs="Times New Roman"/>
              </w:rPr>
              <w:t>2</w:t>
            </w:r>
          </w:p>
        </w:tc>
        <w:tc>
          <w:tcPr>
            <w:tcW w:w="525" w:type="pct"/>
            <w:shd w:val="clear" w:color="auto" w:fill="FFFF00"/>
          </w:tcPr>
          <w:p w:rsidR="00DB6933" w:rsidRPr="00DB6933" w:rsidRDefault="00DB6933" w:rsidP="007544C0">
            <w:pPr>
              <w:spacing w:line="240" w:lineRule="auto"/>
              <w:jc w:val="center"/>
              <w:rPr>
                <w:rFonts w:ascii="Times New Roman" w:hAnsi="Times New Roman" w:cs="Times New Roman"/>
              </w:rPr>
            </w:pPr>
          </w:p>
        </w:tc>
        <w:tc>
          <w:tcPr>
            <w:tcW w:w="222" w:type="pct"/>
            <w:shd w:val="clear" w:color="auto" w:fill="FFFF00"/>
          </w:tcPr>
          <w:p w:rsidR="00DB6933" w:rsidRPr="00E700A8" w:rsidRDefault="00DB6933" w:rsidP="007544C0">
            <w:pPr>
              <w:spacing w:line="240" w:lineRule="auto"/>
              <w:jc w:val="center"/>
              <w:rPr>
                <w:rFonts w:ascii="Times New Roman" w:hAnsi="Times New Roman" w:cs="Times New Roman"/>
              </w:rPr>
            </w:pPr>
          </w:p>
        </w:tc>
        <w:tc>
          <w:tcPr>
            <w:tcW w:w="254" w:type="pct"/>
            <w:shd w:val="clear" w:color="auto" w:fill="FFFF00"/>
          </w:tcPr>
          <w:p w:rsidR="00DB6933" w:rsidRPr="00E700A8" w:rsidRDefault="00DB6933" w:rsidP="007544C0">
            <w:pPr>
              <w:spacing w:line="240" w:lineRule="auto"/>
              <w:jc w:val="center"/>
              <w:rPr>
                <w:rFonts w:ascii="Times New Roman" w:hAnsi="Times New Roman" w:cs="Times New Roman"/>
              </w:rPr>
            </w:pPr>
          </w:p>
        </w:tc>
        <w:tc>
          <w:tcPr>
            <w:tcW w:w="406" w:type="pct"/>
            <w:shd w:val="clear" w:color="auto" w:fill="FFFF00"/>
          </w:tcPr>
          <w:p w:rsidR="00DB6933" w:rsidRPr="00E700A8" w:rsidRDefault="00DB6933" w:rsidP="007544C0">
            <w:pPr>
              <w:spacing w:line="240" w:lineRule="auto"/>
              <w:jc w:val="right"/>
              <w:rPr>
                <w:rFonts w:ascii="Times New Roman" w:hAnsi="Times New Roman" w:cs="Times New Roman"/>
              </w:rPr>
            </w:pPr>
          </w:p>
        </w:tc>
        <w:tc>
          <w:tcPr>
            <w:tcW w:w="429" w:type="pct"/>
            <w:shd w:val="clear" w:color="auto" w:fill="FFFF00"/>
          </w:tcPr>
          <w:p w:rsidR="00DB6933" w:rsidRPr="00E700A8" w:rsidRDefault="00DB6933" w:rsidP="007544C0">
            <w:pPr>
              <w:spacing w:line="240" w:lineRule="auto"/>
              <w:jc w:val="right"/>
              <w:rPr>
                <w:rFonts w:ascii="Times New Roman" w:hAnsi="Times New Roman" w:cs="Times New Roman"/>
              </w:rPr>
            </w:pPr>
          </w:p>
        </w:tc>
      </w:tr>
    </w:tbl>
    <w:p w:rsidR="00170252" w:rsidRDefault="00170252" w:rsidP="000820E3">
      <w:pPr>
        <w:rPr>
          <w:rFonts w:ascii="Times New Roman" w:hAnsi="Times New Roman" w:cs="Times New Roman"/>
          <w:b/>
          <w:sz w:val="28"/>
          <w:szCs w:val="28"/>
        </w:rPr>
      </w:pPr>
    </w:p>
    <w:sectPr w:rsidR="00170252" w:rsidSect="00DB6933">
      <w:headerReference w:type="first" r:id="rId16"/>
      <w:footerReference w:type="first" r:id="rId17"/>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A52" w:rsidRDefault="00E75A52">
      <w:pPr>
        <w:spacing w:after="0" w:line="240" w:lineRule="auto"/>
      </w:pPr>
      <w:r>
        <w:separator/>
      </w:r>
    </w:p>
  </w:endnote>
  <w:endnote w:type="continuationSeparator" w:id="0">
    <w:p w:rsidR="00E75A52" w:rsidRDefault="00E7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F5C0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2F5C0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2F5C0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2F5C0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A52" w:rsidRDefault="00E75A52">
      <w:pPr>
        <w:spacing w:after="0" w:line="240" w:lineRule="auto"/>
      </w:pPr>
      <w:r>
        <w:separator/>
      </w:r>
    </w:p>
  </w:footnote>
  <w:footnote w:type="continuationSeparator" w:id="0">
    <w:p w:rsidR="00E75A52" w:rsidRDefault="00E75A5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5C0C"/>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B6933"/>
    <w:rsid w:val="00DD6DFD"/>
    <w:rsid w:val="00DE242D"/>
    <w:rsid w:val="00DF79BE"/>
    <w:rsid w:val="00E02EB4"/>
    <w:rsid w:val="00E06D2F"/>
    <w:rsid w:val="00E23D7F"/>
    <w:rsid w:val="00E271DF"/>
    <w:rsid w:val="00E300DF"/>
    <w:rsid w:val="00E377D1"/>
    <w:rsid w:val="00E52880"/>
    <w:rsid w:val="00E70CD9"/>
    <w:rsid w:val="00E75A52"/>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8993-705A-4B45-ADFE-EA78FC95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2020-03-20T11:27:00Z</dcterms:created>
  <dcterms:modified xsi:type="dcterms:W3CDTF">2020-03-20T11:27:00Z</dcterms:modified>
</cp:coreProperties>
</file>