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B4657C"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14.02.2019</w:t>
            </w:r>
            <w:bookmarkStart w:id="1" w:name="_GoBack"/>
            <w:bookmarkEnd w:id="1"/>
            <w:r w:rsidR="00894C5B">
              <w:rPr>
                <w:b/>
                <w:sz w:val="24"/>
                <w:szCs w:val="24"/>
              </w:rPr>
              <w:fldChar w:fldCharType="begin">
                <w:ffData>
                  <w:name w:val="ДатаРегистрации"/>
                  <w:enabled w:val="0"/>
                  <w:calcOnExit w:val="0"/>
                  <w:textInput>
                    <w:type w:val="date"/>
                    <w:format w:val="dd.MM.yyyy"/>
                  </w:textInput>
                </w:ffData>
              </w:fldChar>
            </w:r>
            <w:r w:rsidR="00894C5B">
              <w:rPr>
                <w:b/>
                <w:sz w:val="24"/>
                <w:szCs w:val="24"/>
              </w:rPr>
              <w:instrText xml:space="preserve"> FORMTEXT </w:instrText>
            </w:r>
            <w:r w:rsidR="00894C5B">
              <w:rPr>
                <w:b/>
                <w:sz w:val="24"/>
                <w:szCs w:val="24"/>
              </w:rPr>
            </w:r>
            <w:r w:rsidR="00894C5B">
              <w:rPr>
                <w:b/>
                <w:sz w:val="24"/>
                <w:szCs w:val="24"/>
              </w:rPr>
              <w:fldChar w:fldCharType="separate"/>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B4657C" w:rsidP="00BF2771">
            <w:pPr>
              <w:tabs>
                <w:tab w:val="left" w:pos="7088"/>
              </w:tabs>
              <w:spacing w:after="0"/>
              <w:rPr>
                <w:rFonts w:ascii="Times New Roman" w:hAnsi="Times New Roman" w:cs="Times New Roman"/>
                <w:b/>
                <w:sz w:val="24"/>
                <w:szCs w:val="24"/>
                <w:u w:val="single"/>
              </w:rPr>
            </w:pPr>
            <w:r w:rsidRPr="00B4657C">
              <w:rPr>
                <w:b/>
                <w:sz w:val="24"/>
                <w:szCs w:val="24"/>
              </w:rPr>
              <w:t>05-07/100</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817"/>
        <w:gridCol w:w="2268"/>
        <w:gridCol w:w="3260"/>
        <w:gridCol w:w="722"/>
        <w:gridCol w:w="683"/>
        <w:gridCol w:w="881"/>
        <w:gridCol w:w="940"/>
      </w:tblGrid>
      <w:tr w:rsidR="00FA054C" w:rsidRPr="00FA054C" w:rsidTr="00FA054C">
        <w:trPr>
          <w:trHeight w:val="960"/>
        </w:trPr>
        <w:tc>
          <w:tcPr>
            <w:tcW w:w="427" w:type="pct"/>
            <w:tcBorders>
              <w:top w:val="single" w:sz="4" w:space="0" w:color="auto"/>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jc w:val="center"/>
              <w:rPr>
                <w:rFonts w:ascii="Times New Roman" w:eastAsia="Times New Roman" w:hAnsi="Times New Roman" w:cs="Times New Roman"/>
                <w:b/>
                <w:bCs/>
                <w:lang w:eastAsia="ru-RU"/>
              </w:rPr>
            </w:pPr>
            <w:r w:rsidRPr="00FA054C">
              <w:rPr>
                <w:rFonts w:ascii="Times New Roman" w:eastAsia="Times New Roman" w:hAnsi="Times New Roman" w:cs="Times New Roman"/>
                <w:b/>
                <w:bCs/>
                <w:lang w:eastAsia="ru-RU"/>
              </w:rPr>
              <w:t>№</w:t>
            </w:r>
          </w:p>
        </w:tc>
        <w:tc>
          <w:tcPr>
            <w:tcW w:w="1185" w:type="pct"/>
            <w:tcBorders>
              <w:top w:val="single" w:sz="4" w:space="0" w:color="auto"/>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jc w:val="center"/>
              <w:rPr>
                <w:rFonts w:ascii="Times New Roman" w:eastAsia="Times New Roman" w:hAnsi="Times New Roman" w:cs="Times New Roman"/>
                <w:b/>
                <w:bCs/>
                <w:lang w:eastAsia="ru-RU"/>
              </w:rPr>
            </w:pPr>
            <w:r w:rsidRPr="00FA054C">
              <w:rPr>
                <w:rFonts w:ascii="Times New Roman" w:eastAsia="Times New Roman" w:hAnsi="Times New Roman" w:cs="Times New Roman"/>
                <w:b/>
                <w:bCs/>
                <w:lang w:eastAsia="ru-RU"/>
              </w:rPr>
              <w:t>Наименование</w:t>
            </w:r>
          </w:p>
        </w:tc>
        <w:tc>
          <w:tcPr>
            <w:tcW w:w="1703" w:type="pct"/>
            <w:tcBorders>
              <w:top w:val="single" w:sz="4" w:space="0" w:color="auto"/>
              <w:left w:val="nil"/>
              <w:bottom w:val="single" w:sz="4" w:space="0" w:color="auto"/>
              <w:right w:val="single" w:sz="4" w:space="0" w:color="auto"/>
            </w:tcBorders>
            <w:shd w:val="clear" w:color="auto" w:fill="auto"/>
            <w:hideMark/>
          </w:tcPr>
          <w:p w:rsidR="00FA054C" w:rsidRPr="00FA054C" w:rsidRDefault="00792CD5" w:rsidP="00FA054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Технические характеристики</w:t>
            </w:r>
          </w:p>
        </w:tc>
        <w:tc>
          <w:tcPr>
            <w:tcW w:w="377" w:type="pct"/>
            <w:tcBorders>
              <w:top w:val="single" w:sz="4" w:space="0" w:color="auto"/>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center"/>
              <w:rPr>
                <w:rFonts w:ascii="Times New Roman" w:eastAsia="Times New Roman" w:hAnsi="Times New Roman" w:cs="Times New Roman"/>
                <w:b/>
                <w:bCs/>
                <w:lang w:eastAsia="ru-RU"/>
              </w:rPr>
            </w:pPr>
            <w:r w:rsidRPr="00FA054C">
              <w:rPr>
                <w:rFonts w:ascii="Times New Roman" w:eastAsia="Times New Roman" w:hAnsi="Times New Roman" w:cs="Times New Roman"/>
                <w:b/>
                <w:bCs/>
                <w:lang w:eastAsia="ru-RU"/>
              </w:rPr>
              <w:t>Единица измерения</w:t>
            </w:r>
          </w:p>
        </w:tc>
        <w:tc>
          <w:tcPr>
            <w:tcW w:w="357" w:type="pct"/>
            <w:tcBorders>
              <w:top w:val="single" w:sz="4" w:space="0" w:color="auto"/>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center"/>
              <w:rPr>
                <w:rFonts w:ascii="Times New Roman" w:eastAsia="Times New Roman" w:hAnsi="Times New Roman" w:cs="Times New Roman"/>
                <w:b/>
                <w:bCs/>
                <w:lang w:eastAsia="ru-RU"/>
              </w:rPr>
            </w:pPr>
            <w:r w:rsidRPr="00FA054C">
              <w:rPr>
                <w:rFonts w:ascii="Times New Roman" w:eastAsia="Times New Roman" w:hAnsi="Times New Roman" w:cs="Times New Roman"/>
                <w:b/>
                <w:bCs/>
                <w:lang w:eastAsia="ru-RU"/>
              </w:rPr>
              <w:t>Кол-во</w:t>
            </w:r>
          </w:p>
        </w:tc>
        <w:tc>
          <w:tcPr>
            <w:tcW w:w="460" w:type="pct"/>
            <w:tcBorders>
              <w:top w:val="single" w:sz="4" w:space="0" w:color="auto"/>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center"/>
              <w:rPr>
                <w:rFonts w:ascii="Times New Roman" w:eastAsia="Times New Roman" w:hAnsi="Times New Roman" w:cs="Times New Roman"/>
                <w:b/>
                <w:bCs/>
                <w:highlight w:val="yellow"/>
                <w:lang w:eastAsia="ru-RU"/>
              </w:rPr>
            </w:pPr>
            <w:r w:rsidRPr="00FA054C">
              <w:rPr>
                <w:rFonts w:ascii="Times New Roman" w:eastAsia="Times New Roman" w:hAnsi="Times New Roman" w:cs="Times New Roman"/>
                <w:b/>
                <w:bCs/>
                <w:highlight w:val="yellow"/>
                <w:lang w:eastAsia="ru-RU"/>
              </w:rPr>
              <w:t>Цена за ед. с НДС*</w:t>
            </w:r>
          </w:p>
        </w:tc>
        <w:tc>
          <w:tcPr>
            <w:tcW w:w="491" w:type="pct"/>
            <w:tcBorders>
              <w:top w:val="single" w:sz="4" w:space="0" w:color="auto"/>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center"/>
              <w:rPr>
                <w:rFonts w:ascii="Times New Roman" w:eastAsia="Times New Roman" w:hAnsi="Times New Roman" w:cs="Times New Roman"/>
                <w:b/>
                <w:bCs/>
                <w:highlight w:val="yellow"/>
                <w:lang w:eastAsia="ru-RU"/>
              </w:rPr>
            </w:pPr>
            <w:r w:rsidRPr="00FA054C">
              <w:rPr>
                <w:rFonts w:ascii="Times New Roman" w:eastAsia="Times New Roman" w:hAnsi="Times New Roman" w:cs="Times New Roman"/>
                <w:b/>
                <w:bCs/>
                <w:highlight w:val="yellow"/>
                <w:lang w:eastAsia="ru-RU"/>
              </w:rPr>
              <w:t>Сумма *</w:t>
            </w: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Авточек раствор контроля качества С7735 944-074</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растворов для контроля качества, уровень 1, красный, для оценки точности и прецизионности параметров и контрольных пределов. Одна упаковка должна включать не менее 30 ампул по 0,7 мл раствора. Заданные значения – ацидоз. Наличие совместимости с установленным у Заказчика анализатором кислотно-щелочного и газового состава крови ABL800Flex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3</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Авточек раствор контроля качества С7745 944-075</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растворов для контроля качества, уровень 2, желтый, для оценки точности и прецизионности параметров и контрольных пределов. Одна упаковка должна включать не менее 30 ампул по 0,7 мл раствора. Заданные значения – норма. Заданные значения – ацидоз. Наличие совместимости с установленным у Заказчика анализатором кислотно-щелочного и газового состава крови ABL800Flex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2</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Авточек раствор контроля качества С7755 944-076</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растворов для контроля качества уровень 3, синий, для оценки точности и прецизионности параметров и контрольных пределов. Одна упаковка должна включать не менее 30 ампул по 0,7 мл раствора. Заданные значения – алкалоз. Наличие совместимости с установленным у Заказчика анализатором кислотно-щелочного и газового состава крови ABL800Flex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2</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Авточек раствор контроля качества С7765 944-077</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 xml:space="preserve">Набор растворов для контроля качества уровень 4, зеленый, для оценки точности и прецизионности параметров и контрольных пределов. Одна </w:t>
            </w:r>
            <w:r w:rsidRPr="00FA054C">
              <w:rPr>
                <w:rFonts w:ascii="Times New Roman" w:eastAsia="Times New Roman" w:hAnsi="Times New Roman" w:cs="Times New Roman"/>
                <w:lang w:eastAsia="ru-RU"/>
              </w:rPr>
              <w:lastRenderedPageBreak/>
              <w:t>упаковка должна включать не менее 30 ампул по 0,7 мл раствора. Заданные значения – высокое содержание кислорода. Наличие совместимости с установленным у Заказчика анализатором кислотно-щелочного и газового состава крови ABL800Flex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lastRenderedPageBreak/>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2</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газ 1  962-183</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Газовый баллон должен быть наполненный прецезионными трехкомпонентными газовыми смесями (19,8% О2, 5,6% СО2, азот), предназначенные для калибровки электродов рО2, рСО2 в анализаторе ABL800ELEX установленном у Заказчика. Давление 34 бар</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шт</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3</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газ 2   962-184</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Газовый баллон должен быть наполненный прецезионными трехкомпонентными газовыми смесями (19,8% О2, 5,6% СО2, азот), предназначенные для калибровки электродов рО2, рСО2 в анализаторе ABL800ELEX установленном у Заказчика. Давление 34 бар</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шт</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3</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раствор 1, 944-128</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раствор 1, совместимый с установленным у заказчика анализатором кислотноосновного состава крови ABL 800 FLEX. Представляет собой раствор для калибровки по одной и двум точкам; упаковка — белая матовая пластиковая бутылка 5,5х4,5х12 см; объем - не менее 200 мл; состав — рН 7,4, сК+ 4mM, сNa+ 145mM, cCa2+ 1,25mM, cCl- 102mM, cGlu 10mM, cLac 4mM.</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шт</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12</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раствор 2, 944-129</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раствор 2, совместимый с установленным у заказчика анализатором кислотноосновного состава крови ABL 800 FLEX. Представляет собой раствор для калибровки по двум точкам; упаковка — белая матовая пластиковая бутылка 5,5х4,5х12 см; объем - не менее 200 мл; состав — рН 6,9, сК+ 40mM, сNa+ 20mM, cCa2+ 5mM, cCl- 50mM.</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шт</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10</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раствор гемоглобина, 6шт/уп, 944-021</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Калибровочный раствор для гемоглобина, должен быть совместим с анализатором кислотноосновного состава крови ABL 800 FLEX, имеющимся у Заказчика. Должен быть предназначен для автоматической калибровки системы анализатора по гемоглобину. В упаковке должно быть не менее 4 х 2 мл.</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Мембраны для K электрода 942-059</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для мембранирования электрода К. Мембрана должна представлять собой колбу, заполненную раствором электролита с ионоселективной на ионы калия измеряющей поверхностью. Непосредственно используется при проведении анализа крови для измерения уровня калия в крови. Состав электролита должен содержать: 60-80% вода, 20-40% глицерин, 0,4-1,4% соли, &lt;0,1% консервант, &lt;0,0015 5-хлор-2-метил-4-изотиазолин-3-он, смешанный (3: 1) с 2-метил-2Н-изотиазол-3-он. Объем колбы электролита не менее 1 мл. Один набор должен включать не менee 4 капсулы мембран из текстильного материала в электролитном растворе, каждая из которых находится в отдельной ячейке. Набор неделим. Хранить при температуре от не менее  +2°C до не более +32 ºС. Должен быть совместим с установленным у Заказчика анализатором газов крови ABL800ELEX.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Мембраны референтного электрода (4 шт) для анализаторов АВL700/800 942-058</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 xml:space="preserve">Набор для мембранирования референтного электрода. Мембрана должна представлять собой колбу, заполненную раствором электролита. Непосредственно используется при проведении анализа крови. Дает эталонное значение напряжения для расчета параметров, измеряемых по принципу потенциометрии. Состав электролита должен </w:t>
            </w:r>
            <w:r w:rsidRPr="00FA054C">
              <w:rPr>
                <w:rFonts w:ascii="Times New Roman" w:eastAsia="Times New Roman" w:hAnsi="Times New Roman" w:cs="Times New Roman"/>
                <w:lang w:eastAsia="ru-RU"/>
              </w:rPr>
              <w:lastRenderedPageBreak/>
              <w:t>содержать: 40-45% вода, 30-40% глицерин, 20-25% муравьинокислый натрий, &lt;0,001% 2-метил-2Н-изотиазол-3-он, &lt;0,1 консервант. Объем колбы электролита не менее 1 мл. Один набор должен включать не менee 4 капсулы мембран из текстильного материала в электролитном растворе, каждая из которых находится в отдельной ячейке. Набор неделим. Должен быть совместим с установленным у Заказчика анализатором газов крови ABL800ELEX. Хранить при температуре от не менее  +2°C до не более +32 ºС.</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lastRenderedPageBreak/>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Мембраны электрода кальция (4 шт) для анализаторов АВL700/800 942-060</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для мембранирования электрода Ca, должен содержать 4 мембранированных  чехла электродов, заполненные раствором электролита, каждый из которых находится в отдельной ячейке. Электролит должен содержать буфер, органические вещества, неорганические соли, консервант и ПАВ. Набор неделим. Хранить при температуре от не менее +2°C до не более +32°C. Должен быть совместим с анализатором ABL800ELEX установленный у Заказчика.</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Мембраны электрода натрия (4 шт) для анализаторов АВL700/800 942-062</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 xml:space="preserve">Набор для мембранирования электрода Na. Мембрана должна представлять собой колбу, заполненную раствором электролита с ионоселективной на ионы натрия измеряющей поверхностью. Непосредственно используется при проведении анализа крови для измерения уровня натрия в крови. Состав электролита должен включать: 0-80% вода, 20-100% Пропиленгликоль, 1-5% двунатриевый тетраборат  декагидрат, 0-0,01% пав, &lt;0,0015 5-хлор-2-метил-4- изотиазолин -3-он, смешанный (3: 1) с 2-метил-2Н-изотиазол-3-он. Объем колбы электролита не менее 1 мл. Один набор </w:t>
            </w:r>
            <w:r w:rsidRPr="00FA054C">
              <w:rPr>
                <w:rFonts w:ascii="Times New Roman" w:eastAsia="Times New Roman" w:hAnsi="Times New Roman" w:cs="Times New Roman"/>
                <w:lang w:eastAsia="ru-RU"/>
              </w:rPr>
              <w:lastRenderedPageBreak/>
              <w:t>должен включать не менee 4 капсулы мембран из текстильного материала в электролитном растворе. Набор неделим. Хранить при температуре  от не менее  +2°Cдо  не более +32 ºС. Должен быть совместим с установленным у Заказчика анализатором газов крови ABL800ELEX.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lastRenderedPageBreak/>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Мембраны электрода рСО2(4 шт) для анализаторов АВL700/800 942-063</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для мембранирования электрода рСО2. Мембрана должна представлять собой пластиковую колбу, заполненную раствором электролита с ионоселективной на ионы углекислого газа измеряющей поверхностью. Непосредственно используется при проведении анализа крови для измерения уровня углекислого газа в крови. Состав электролита должен включать: 59-80% вода, 20-40% глицерин, 0-1,3% соли, 0-0,01% пав, &lt;0,0015 5-хлор-2-метил-4-изотиазолин-3-он, смешанный (3: 1) с 2-метил-2Н-изотиазол-3-он. Объем колбы электролита не менее 1 мл. Один набор должен содержать не менee 4 капсулы мембран из текстильного материала в электролитном растворе. Набор неделим. Хранить при температуре  от не менее  2°C до  не более 32 ºС. Должен быть совместим с установленным у Заказчика анализатором газов крови ABL800ELEX.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Мембраны электрода хлора (4 шт) для анализаторов АВL700/800 942-061</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мембран для Cl электрода, упаковка должна содержать не менее 4 капсул мембран из текстильного материала в электролитном растворе, содержащем буфер, неорганические соли. Ионоселективны на ионы хлора. Хранение – при температуре от не ниже +2°C до не выше  +32°C. Применяется для работы анализатора ABL800ELEX, установленного у Заказчика.</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мембран для Glucose электрода, 4 шт/уп  942-065</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мембран для электрода глюкозы. Набор должен содержать не менее 4 капсул мембран из текстильного материала в электролитном растворе, содержащем буфер, неорганические соли. Набор неделим. Хранение при температуре от 2°C до 10°С. Наличие совместимости с установленным у заказчика анализатором кислотно-щелочного и газового состава крови ABL800 Flex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мембран для Lactate электрода, 4 шт/уп   942-066</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мембран для лактат - электрода. Набор должен содержать не менее 4 капсул мембран из текстильного материала в электролитном растворе, содержащем буфер, неорганические соли. Набор неделим. Хранение при температуре в дипазоне не уже от 2°C до 10°С. Совместим с имеющимся у Заказчика анализатором кислотно-щелочного и газового состава крови ABL800 Flex.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Набор мембран для рО2,  4 шт/уп   942-064</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 xml:space="preserve">Набор должен быть предназначен для мембранирования электрода рО2. Мембрана должна представлять собой пластиковую колбу, заполненную раствором электролита с ионоселективной на ионы кислорода измеряющей поверхностью. Должен использоваться при проведении анализа крови для измерения уровня кислорода в крови. Состав электролита должен включать : не менее 85-90% вода, в соответствии с технической документацией производителя, не менее 3-10% соли, в соответствии с технической документацией производителя, не менее 5% Полиэтиленгликоль 600, в соответствии с технической документацией производителя, &lt;0,1% добавки, в соответствии с технической документацией производителя, не более 0-0,1% </w:t>
            </w:r>
            <w:r w:rsidRPr="00FA054C">
              <w:rPr>
                <w:rFonts w:ascii="Times New Roman" w:eastAsia="Times New Roman" w:hAnsi="Times New Roman" w:cs="Times New Roman"/>
                <w:lang w:eastAsia="ru-RU"/>
              </w:rPr>
              <w:lastRenderedPageBreak/>
              <w:t>пав в соответствии с технической документацией производителя. Объем колбы электролита не более  1 мл. Один набор включает не менее 4 капсул мембран из текстильного материала в электролитном растворе. Набор неделим. Хранить при температуре от не ниже 2°C до  не выше 32 ºС. Должен быть совместим с установленным у Заказчика анализатором газов крови ABL800ELEX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lastRenderedPageBreak/>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Очистной раствор 175мл  944-126</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Очистной раствор, не менее 175 мл в сдвоенном пластиковом контейнере для очистки измерительной системы в анализаторе серии ABL800ELEX, установленного у заказчика. Должен содержать соли, буфер, антикоагулянт, консерванты и ПАВ, хранение – при температуре от не ниже +2ºС до не выше+10ºС</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шт</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6</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ПИКО 70 артер.самплер игла 22G-32 мм (100) 956-525</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Устройство должно быть предназначено для забора крови состоит: из пластикового цилиндра (или материала сходного по структуре) и заглушки. Должен содержать  гепарин, сбалансированный по натрию, кальцию, калию, хлору. В комплекте к каждому устройству должен быть предназначен зонд. Объём цилиндра  – не менее  1,5 мл. Длина зонда - не более 32 мм. Фасовка: в одной упаковке не более 100 шт. Должно быть совместимо с установленным у Заказчика анализатором кислотно-щелочного и газового состава крови ABL800ELEX.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3</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ПИКО 70 артериальные самплер, игла 23G-16 мм, 100 шт. 956-529</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 xml:space="preserve">Самозаполняющееся устройство должно быть предназначено для пункционного взятия артериальной крови. Все компоненты должны быть  разработаны для забора артериальной крови, обработаны высокими концентрациями сухого сбалансированного по </w:t>
            </w:r>
            <w:r w:rsidRPr="00FA054C">
              <w:rPr>
                <w:rFonts w:ascii="Times New Roman" w:eastAsia="Times New Roman" w:hAnsi="Times New Roman" w:cs="Times New Roman"/>
                <w:lang w:eastAsia="ru-RU"/>
              </w:rPr>
              <w:lastRenderedPageBreak/>
              <w:t>электролитам гепарина, игла не более 23G*16мм, не менее 100 шт. в картонной коробке (для лучевой артерии) хранение  – при температуре от - не ниже +2Сº до - не выше+32Сº</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lastRenderedPageBreak/>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3</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Прокладка входного отверстия 902-668</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Устройство должно быть предназначено для ввода пробы в анализатор газов крови ABL800FLEX установленного у Заказчика. Должен состоять из прокладки с не менее, чем двумя отверстиями для шприца и капилляра с резиновым уплотнителем. Размер не менее 75*50 мм. Материал – пластик (или аналогичный по свойствам материал).</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шт</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10</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Промывочный р-р  600 мл  944-132</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Раствор для удаления белка и обеззараживания системы. Должен содержать 5% водный раствор NaOCl. Не должен содержать этиловый спирт; Для промывки жидкостной системы анализатора. Упаковка не менее 600 мл во флаконе. Наличие совместимости с установленным у заказчика анализатором кислотно-щелочного и газового состава крови ABL800ELEX.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шт</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10</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Раствор гипохлорида 100 мл 943-906</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Раствор гипохлорита для удаления белка. Упаковка не менее 100 мл. Наличие совместимости с установленным у заказчика анализатором кислотно-щелочного и газового состава крови ABL800ELEX</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флак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1</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r w:rsidR="00FA054C" w:rsidRPr="00FA054C" w:rsidTr="00FA054C">
        <w:trPr>
          <w:trHeight w:val="799"/>
        </w:trPr>
        <w:tc>
          <w:tcPr>
            <w:tcW w:w="427" w:type="pct"/>
            <w:tcBorders>
              <w:top w:val="nil"/>
              <w:left w:val="single" w:sz="8" w:space="0" w:color="auto"/>
              <w:bottom w:val="single" w:sz="4" w:space="0" w:color="auto"/>
              <w:right w:val="single" w:sz="4" w:space="0" w:color="auto"/>
            </w:tcBorders>
            <w:shd w:val="clear" w:color="auto" w:fill="auto"/>
          </w:tcPr>
          <w:p w:rsidR="00FA054C" w:rsidRPr="00FA054C" w:rsidRDefault="00FA054C" w:rsidP="00FA054C">
            <w:pPr>
              <w:pStyle w:val="a7"/>
              <w:numPr>
                <w:ilvl w:val="0"/>
                <w:numId w:val="18"/>
              </w:numPr>
              <w:spacing w:after="0" w:line="240" w:lineRule="auto"/>
              <w:jc w:val="right"/>
              <w:rPr>
                <w:rFonts w:ascii="Times New Roman" w:eastAsia="Times New Roman" w:hAnsi="Times New Roman" w:cs="Times New Roman"/>
                <w:lang w:eastAsia="ru-RU"/>
              </w:rPr>
            </w:pPr>
          </w:p>
        </w:tc>
        <w:tc>
          <w:tcPr>
            <w:tcW w:w="1185" w:type="pct"/>
            <w:tcBorders>
              <w:top w:val="nil"/>
              <w:left w:val="single" w:sz="8" w:space="0" w:color="auto"/>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Уловители сгустков (250 шт) 906-020</w:t>
            </w:r>
          </w:p>
        </w:tc>
        <w:tc>
          <w:tcPr>
            <w:tcW w:w="1703"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Одноразовый уловитель сгустков крови для анализатора ABL800ELEX, установленного у заказчика. Материал изготовления-пластик. Количество штук в упаковке не менее 250шт.</w:t>
            </w:r>
          </w:p>
        </w:tc>
        <w:tc>
          <w:tcPr>
            <w:tcW w:w="37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упак</w:t>
            </w:r>
          </w:p>
        </w:tc>
        <w:tc>
          <w:tcPr>
            <w:tcW w:w="357" w:type="pct"/>
            <w:tcBorders>
              <w:top w:val="nil"/>
              <w:left w:val="nil"/>
              <w:bottom w:val="single" w:sz="4" w:space="0" w:color="auto"/>
              <w:right w:val="single" w:sz="4" w:space="0" w:color="auto"/>
            </w:tcBorders>
            <w:shd w:val="clear" w:color="auto" w:fill="auto"/>
            <w:hideMark/>
          </w:tcPr>
          <w:p w:rsidR="00FA054C" w:rsidRPr="00FA054C" w:rsidRDefault="00FA054C" w:rsidP="00FA054C">
            <w:pPr>
              <w:spacing w:after="0" w:line="240" w:lineRule="auto"/>
              <w:jc w:val="right"/>
              <w:rPr>
                <w:rFonts w:ascii="Times New Roman" w:eastAsia="Times New Roman" w:hAnsi="Times New Roman" w:cs="Times New Roman"/>
                <w:lang w:eastAsia="ru-RU"/>
              </w:rPr>
            </w:pPr>
            <w:r w:rsidRPr="00FA054C">
              <w:rPr>
                <w:rFonts w:ascii="Times New Roman" w:eastAsia="Times New Roman" w:hAnsi="Times New Roman" w:cs="Times New Roman"/>
                <w:lang w:eastAsia="ru-RU"/>
              </w:rPr>
              <w:t>6</w:t>
            </w:r>
          </w:p>
        </w:tc>
        <w:tc>
          <w:tcPr>
            <w:tcW w:w="460"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c>
          <w:tcPr>
            <w:tcW w:w="491" w:type="pct"/>
            <w:tcBorders>
              <w:top w:val="nil"/>
              <w:left w:val="nil"/>
              <w:bottom w:val="single" w:sz="4" w:space="0" w:color="auto"/>
              <w:right w:val="single" w:sz="4" w:space="0" w:color="auto"/>
            </w:tcBorders>
            <w:shd w:val="clear" w:color="auto" w:fill="auto"/>
          </w:tcPr>
          <w:p w:rsidR="00FA054C" w:rsidRPr="00FA054C" w:rsidRDefault="00FA054C" w:rsidP="00FA054C">
            <w:pPr>
              <w:spacing w:after="0" w:line="240" w:lineRule="auto"/>
              <w:jc w:val="right"/>
              <w:rPr>
                <w:rFonts w:ascii="Times New Roman" w:eastAsia="Times New Roman" w:hAnsi="Times New Roman" w:cs="Times New Roman"/>
                <w:lang w:eastAsia="ru-RU"/>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lastRenderedPageBreak/>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DD" w:rsidRDefault="007123DD">
      <w:pPr>
        <w:spacing w:after="0" w:line="240" w:lineRule="auto"/>
      </w:pPr>
      <w:r>
        <w:separator/>
      </w:r>
    </w:p>
  </w:endnote>
  <w:endnote w:type="continuationSeparator" w:id="0">
    <w:p w:rsidR="007123DD" w:rsidRDefault="0071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4657C">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123DD">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B4657C">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DD" w:rsidRDefault="007123DD">
      <w:pPr>
        <w:spacing w:after="0" w:line="240" w:lineRule="auto"/>
      </w:pPr>
      <w:r>
        <w:separator/>
      </w:r>
    </w:p>
  </w:footnote>
  <w:footnote w:type="continuationSeparator" w:id="0">
    <w:p w:rsidR="007123DD" w:rsidRDefault="0071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6326D8E"/>
    <w:multiLevelType w:val="hybridMultilevel"/>
    <w:tmpl w:val="83281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6"/>
  </w:num>
  <w:num w:numId="15">
    <w:abstractNumId w:val="16"/>
  </w:num>
  <w:num w:numId="16">
    <w:abstractNumId w:val="12"/>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76D17"/>
    <w:rsid w:val="00087E95"/>
    <w:rsid w:val="0009727D"/>
    <w:rsid w:val="000A5E67"/>
    <w:rsid w:val="000B086C"/>
    <w:rsid w:val="000B76AB"/>
    <w:rsid w:val="000C04D6"/>
    <w:rsid w:val="000C181F"/>
    <w:rsid w:val="000D60FE"/>
    <w:rsid w:val="000E5267"/>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123"/>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123DD"/>
    <w:rsid w:val="00735AB0"/>
    <w:rsid w:val="0074516E"/>
    <w:rsid w:val="00756147"/>
    <w:rsid w:val="0076046A"/>
    <w:rsid w:val="00770DBE"/>
    <w:rsid w:val="00781335"/>
    <w:rsid w:val="007922BC"/>
    <w:rsid w:val="00792CD5"/>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21F1F"/>
    <w:rsid w:val="00A37A47"/>
    <w:rsid w:val="00A406BB"/>
    <w:rsid w:val="00A423B2"/>
    <w:rsid w:val="00A475D6"/>
    <w:rsid w:val="00A51E47"/>
    <w:rsid w:val="00A5338E"/>
    <w:rsid w:val="00A56B78"/>
    <w:rsid w:val="00A641E2"/>
    <w:rsid w:val="00A76CEF"/>
    <w:rsid w:val="00A82B8F"/>
    <w:rsid w:val="00A84443"/>
    <w:rsid w:val="00A8777F"/>
    <w:rsid w:val="00A91698"/>
    <w:rsid w:val="00A94C5C"/>
    <w:rsid w:val="00AE1B0F"/>
    <w:rsid w:val="00AF03B1"/>
    <w:rsid w:val="00AF7E0D"/>
    <w:rsid w:val="00B0383F"/>
    <w:rsid w:val="00B12DAF"/>
    <w:rsid w:val="00B24019"/>
    <w:rsid w:val="00B33706"/>
    <w:rsid w:val="00B4657C"/>
    <w:rsid w:val="00B61169"/>
    <w:rsid w:val="00B664DC"/>
    <w:rsid w:val="00B666D7"/>
    <w:rsid w:val="00B66D35"/>
    <w:rsid w:val="00B67E6D"/>
    <w:rsid w:val="00B77DAE"/>
    <w:rsid w:val="00B8743B"/>
    <w:rsid w:val="00BA0869"/>
    <w:rsid w:val="00BA5FF8"/>
    <w:rsid w:val="00BC21DD"/>
    <w:rsid w:val="00BE3F70"/>
    <w:rsid w:val="00BF2771"/>
    <w:rsid w:val="00C134B9"/>
    <w:rsid w:val="00C22E6F"/>
    <w:rsid w:val="00C505E8"/>
    <w:rsid w:val="00C56C90"/>
    <w:rsid w:val="00C645BD"/>
    <w:rsid w:val="00C753E1"/>
    <w:rsid w:val="00C812C7"/>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961F8"/>
    <w:rsid w:val="00E96EEE"/>
    <w:rsid w:val="00ED2F34"/>
    <w:rsid w:val="00EE2E62"/>
    <w:rsid w:val="00EE4AA9"/>
    <w:rsid w:val="00EF093D"/>
    <w:rsid w:val="00F15BFD"/>
    <w:rsid w:val="00F27547"/>
    <w:rsid w:val="00F2794C"/>
    <w:rsid w:val="00F374E2"/>
    <w:rsid w:val="00F43A9A"/>
    <w:rsid w:val="00F52E6A"/>
    <w:rsid w:val="00F709FA"/>
    <w:rsid w:val="00F72D5A"/>
    <w:rsid w:val="00F92171"/>
    <w:rsid w:val="00FA054C"/>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7887854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68059192">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57623587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C1BF-17B5-4415-B1FE-A030D1CB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4</cp:revision>
  <cp:lastPrinted>2018-01-19T15:25:00Z</cp:lastPrinted>
  <dcterms:created xsi:type="dcterms:W3CDTF">2019-02-13T11:03:00Z</dcterms:created>
  <dcterms:modified xsi:type="dcterms:W3CDTF">2019-02-14T06:54:00Z</dcterms:modified>
</cp:coreProperties>
</file>