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21.1-03/2298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10138">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пищевой соды и лимонной кислоты</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течение 10 (десяти) рабочих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указан попозиционно, в описании объекта закупки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48" w:type="pct"/>
        <w:tblInd w:w="-176" w:type="dxa"/>
        <w:tblLayout w:type="fixed"/>
        <w:tblLook w:val="04A0" w:firstRow="1" w:lastRow="0" w:firstColumn="1" w:lastColumn="0" w:noHBand="0" w:noVBand="1"/>
      </w:tblPr>
      <w:tblGrid>
        <w:gridCol w:w="423"/>
        <w:gridCol w:w="2266"/>
        <w:gridCol w:w="5711"/>
        <w:gridCol w:w="920"/>
        <w:gridCol w:w="746"/>
        <w:gridCol w:w="1461"/>
        <w:gridCol w:w="1731"/>
        <w:gridCol w:w="860"/>
        <w:gridCol w:w="1163"/>
        <w:gridCol w:w="1140"/>
      </w:tblGrid>
      <w:tr w:rsidR="003C044F" w:rsidRPr="000D0F01" w:rsidTr="00510EC7">
        <w:trPr>
          <w:trHeight w:val="830"/>
        </w:trPr>
        <w:tc>
          <w:tcPr>
            <w:tcW w:w="129" w:type="pct"/>
            <w:tcBorders>
              <w:top w:val="single" w:sz="4" w:space="0" w:color="auto"/>
              <w:left w:val="single" w:sz="4" w:space="0" w:color="auto"/>
              <w:bottom w:val="single" w:sz="4" w:space="0" w:color="auto"/>
              <w:right w:val="single" w:sz="4" w:space="0" w:color="auto"/>
            </w:tcBorders>
            <w:shd w:val="clear" w:color="FFFFFF" w:fill="auto"/>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w:t>
            </w:r>
          </w:p>
        </w:tc>
        <w:tc>
          <w:tcPr>
            <w:tcW w:w="690" w:type="pct"/>
            <w:tcBorders>
              <w:top w:val="single" w:sz="4" w:space="0" w:color="auto"/>
              <w:left w:val="single" w:sz="4" w:space="0" w:color="auto"/>
              <w:bottom w:val="single" w:sz="4" w:space="0" w:color="auto"/>
            </w:tcBorders>
            <w:shd w:val="clear" w:color="FFFFFF" w:fill="auto"/>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Наименование</w:t>
            </w:r>
          </w:p>
        </w:tc>
        <w:tc>
          <w:tcPr>
            <w:tcW w:w="1739" w:type="pct"/>
            <w:tcBorders>
              <w:top w:val="single" w:sz="4" w:space="0" w:color="auto"/>
              <w:left w:val="single" w:sz="4" w:space="0" w:color="auto"/>
              <w:bottom w:val="single" w:sz="4" w:space="0" w:color="auto"/>
              <w:right w:val="single" w:sz="4" w:space="0" w:color="auto"/>
            </w:tcBorders>
            <w:shd w:val="clear" w:color="FFFFFF" w:fill="auto"/>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Технические характеристики</w:t>
            </w:r>
          </w:p>
        </w:tc>
        <w:tc>
          <w:tcPr>
            <w:tcW w:w="280" w:type="pct"/>
            <w:tcBorders>
              <w:top w:val="single" w:sz="4" w:space="0" w:color="auto"/>
              <w:left w:val="single" w:sz="4" w:space="0" w:color="auto"/>
              <w:bottom w:val="single" w:sz="4" w:space="0" w:color="auto"/>
            </w:tcBorders>
            <w:shd w:val="clear" w:color="FFFFFF" w:fill="auto"/>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Ед. изм.</w:t>
            </w:r>
          </w:p>
        </w:tc>
        <w:tc>
          <w:tcPr>
            <w:tcW w:w="227" w:type="pct"/>
            <w:tcBorders>
              <w:top w:val="single" w:sz="4" w:space="0" w:color="auto"/>
              <w:left w:val="single" w:sz="4" w:space="0" w:color="auto"/>
              <w:bottom w:val="single" w:sz="4" w:space="0" w:color="auto"/>
              <w:right w:val="single" w:sz="4" w:space="0" w:color="auto"/>
            </w:tcBorders>
            <w:shd w:val="clear" w:color="FFFFFF" w:fill="auto"/>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Кол-во</w:t>
            </w:r>
          </w:p>
        </w:tc>
        <w:tc>
          <w:tcPr>
            <w:tcW w:w="445" w:type="pct"/>
            <w:tcBorders>
              <w:top w:val="single" w:sz="4" w:space="0" w:color="auto"/>
              <w:left w:val="single" w:sz="4" w:space="0" w:color="auto"/>
              <w:bottom w:val="single" w:sz="4" w:space="0" w:color="auto"/>
              <w:right w:val="single" w:sz="4" w:space="0" w:color="auto"/>
            </w:tcBorders>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ОКПД2/</w:t>
            </w:r>
          </w:p>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Calibri" w:hAnsi="Times New Roman" w:cs="Times New Roman"/>
                <w:b/>
                <w:sz w:val="20"/>
                <w:szCs w:val="20"/>
              </w:rPr>
              <w:t>КТРУ</w:t>
            </w:r>
          </w:p>
        </w:tc>
        <w:tc>
          <w:tcPr>
            <w:tcW w:w="527" w:type="pct"/>
            <w:tcBorders>
              <w:top w:val="single" w:sz="4" w:space="0" w:color="auto"/>
              <w:left w:val="single" w:sz="4" w:space="0" w:color="auto"/>
              <w:bottom w:val="single" w:sz="4" w:space="0" w:color="auto"/>
              <w:right w:val="single" w:sz="4" w:space="0" w:color="auto"/>
            </w:tcBorders>
            <w:shd w:val="clear" w:color="auto" w:fill="FFFF99"/>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Times New Roman" w:hAnsi="Times New Roman" w:cs="Times New Roman"/>
                <w:b/>
                <w:sz w:val="20"/>
                <w:szCs w:val="20"/>
              </w:rPr>
              <w:t>Страна происхождения</w:t>
            </w:r>
          </w:p>
        </w:tc>
        <w:tc>
          <w:tcPr>
            <w:tcW w:w="262" w:type="pct"/>
            <w:tcBorders>
              <w:top w:val="single" w:sz="4" w:space="0" w:color="auto"/>
              <w:left w:val="single" w:sz="4" w:space="0" w:color="auto"/>
              <w:bottom w:val="single" w:sz="4" w:space="0" w:color="auto"/>
              <w:right w:val="single" w:sz="4" w:space="0" w:color="auto"/>
            </w:tcBorders>
            <w:shd w:val="clear" w:color="auto" w:fill="FFFF99"/>
          </w:tcPr>
          <w:p w:rsidR="003C044F" w:rsidRPr="000D0F01" w:rsidRDefault="003C044F" w:rsidP="00510EC7">
            <w:pPr>
              <w:spacing w:after="0" w:line="240" w:lineRule="auto"/>
              <w:jc w:val="center"/>
              <w:rPr>
                <w:rFonts w:ascii="Times New Roman" w:eastAsia="Times New Roman" w:hAnsi="Times New Roman" w:cs="Times New Roman"/>
                <w:b/>
                <w:sz w:val="20"/>
                <w:szCs w:val="20"/>
              </w:rPr>
            </w:pPr>
            <w:r w:rsidRPr="000D0F01">
              <w:rPr>
                <w:rFonts w:ascii="Times New Roman" w:eastAsia="Times New Roman" w:hAnsi="Times New Roman" w:cs="Times New Roman"/>
                <w:b/>
                <w:sz w:val="20"/>
                <w:szCs w:val="20"/>
              </w:rPr>
              <w:t xml:space="preserve">НДС </w:t>
            </w:r>
          </w:p>
          <w:p w:rsidR="003C044F" w:rsidRPr="000D0F01" w:rsidRDefault="003C044F" w:rsidP="00510EC7">
            <w:pPr>
              <w:spacing w:after="0" w:line="240" w:lineRule="auto"/>
              <w:jc w:val="center"/>
              <w:rPr>
                <w:rFonts w:ascii="Times New Roman" w:eastAsia="Times New Roman" w:hAnsi="Times New Roman" w:cs="Times New Roman"/>
                <w:b/>
                <w:sz w:val="20"/>
                <w:szCs w:val="20"/>
              </w:rPr>
            </w:pPr>
            <w:r w:rsidRPr="000D0F01">
              <w:rPr>
                <w:rFonts w:ascii="Times New Roman" w:eastAsia="Times New Roman" w:hAnsi="Times New Roman" w:cs="Times New Roman"/>
                <w:b/>
                <w:sz w:val="20"/>
                <w:szCs w:val="20"/>
              </w:rPr>
              <w:t>(%)</w:t>
            </w:r>
          </w:p>
        </w:tc>
        <w:tc>
          <w:tcPr>
            <w:tcW w:w="354" w:type="pct"/>
            <w:tcBorders>
              <w:top w:val="single" w:sz="4" w:space="0" w:color="auto"/>
              <w:left w:val="single" w:sz="4" w:space="0" w:color="auto"/>
              <w:bottom w:val="single" w:sz="4" w:space="0" w:color="auto"/>
              <w:right w:val="single" w:sz="4" w:space="0" w:color="auto"/>
            </w:tcBorders>
            <w:shd w:val="clear" w:color="auto" w:fill="FFFF99"/>
          </w:tcPr>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Times New Roman" w:hAnsi="Times New Roman" w:cs="Times New Roman"/>
                <w:b/>
                <w:sz w:val="20"/>
                <w:szCs w:val="20"/>
              </w:rPr>
              <w:t>Цена за ед. с НДС (руб)</w:t>
            </w:r>
          </w:p>
        </w:tc>
        <w:tc>
          <w:tcPr>
            <w:tcW w:w="347" w:type="pct"/>
            <w:tcBorders>
              <w:top w:val="single" w:sz="4" w:space="0" w:color="auto"/>
              <w:left w:val="single" w:sz="4" w:space="0" w:color="auto"/>
              <w:bottom w:val="single" w:sz="4" w:space="0" w:color="auto"/>
              <w:right w:val="single" w:sz="4" w:space="0" w:color="auto"/>
            </w:tcBorders>
            <w:shd w:val="clear" w:color="auto" w:fill="FFFF99"/>
          </w:tcPr>
          <w:p w:rsidR="003C044F" w:rsidRPr="000D0F01" w:rsidRDefault="003C044F" w:rsidP="00510EC7">
            <w:pPr>
              <w:spacing w:after="0" w:line="240" w:lineRule="auto"/>
              <w:jc w:val="center"/>
              <w:rPr>
                <w:rFonts w:ascii="Times New Roman" w:eastAsia="Times New Roman" w:hAnsi="Times New Roman" w:cs="Times New Roman"/>
                <w:b/>
                <w:sz w:val="20"/>
                <w:szCs w:val="20"/>
              </w:rPr>
            </w:pPr>
            <w:r w:rsidRPr="000D0F01">
              <w:rPr>
                <w:rFonts w:ascii="Times New Roman" w:eastAsia="Times New Roman" w:hAnsi="Times New Roman" w:cs="Times New Roman"/>
                <w:b/>
                <w:sz w:val="20"/>
                <w:szCs w:val="20"/>
              </w:rPr>
              <w:t xml:space="preserve">Сумма с НДС </w:t>
            </w:r>
          </w:p>
          <w:p w:rsidR="003C044F" w:rsidRPr="000D0F01" w:rsidRDefault="003C044F" w:rsidP="00510EC7">
            <w:pPr>
              <w:spacing w:after="0" w:line="240" w:lineRule="auto"/>
              <w:jc w:val="center"/>
              <w:rPr>
                <w:rFonts w:ascii="Times New Roman" w:eastAsia="Calibri" w:hAnsi="Times New Roman" w:cs="Times New Roman"/>
                <w:b/>
                <w:sz w:val="20"/>
                <w:szCs w:val="20"/>
              </w:rPr>
            </w:pPr>
            <w:r w:rsidRPr="000D0F01">
              <w:rPr>
                <w:rFonts w:ascii="Times New Roman" w:eastAsia="Times New Roman" w:hAnsi="Times New Roman" w:cs="Times New Roman"/>
                <w:b/>
                <w:sz w:val="20"/>
                <w:szCs w:val="20"/>
              </w:rPr>
              <w:t>(руб)</w:t>
            </w:r>
          </w:p>
        </w:tc>
      </w:tr>
      <w:tr w:rsidR="003C044F" w:rsidRPr="00B37EC5" w:rsidTr="00510EC7">
        <w:trPr>
          <w:trHeight w:val="4087"/>
        </w:trPr>
        <w:tc>
          <w:tcPr>
            <w:tcW w:w="129" w:type="pct"/>
            <w:tcBorders>
              <w:top w:val="single" w:sz="4" w:space="0" w:color="auto"/>
              <w:left w:val="single" w:sz="4" w:space="0" w:color="auto"/>
              <w:bottom w:val="single" w:sz="4" w:space="0" w:color="auto"/>
              <w:right w:val="single" w:sz="4" w:space="0" w:color="auto"/>
            </w:tcBorders>
            <w:shd w:val="clear" w:color="FFFFFF" w:fill="auto"/>
          </w:tcPr>
          <w:p w:rsidR="003C044F" w:rsidRPr="00B37EC5" w:rsidRDefault="003C044F" w:rsidP="00510EC7">
            <w:pPr>
              <w:spacing w:after="0" w:line="240" w:lineRule="auto"/>
              <w:jc w:val="center"/>
              <w:rPr>
                <w:rFonts w:ascii="Times New Roman" w:eastAsia="Calibri" w:hAnsi="Times New Roman" w:cs="Times New Roman"/>
                <w:sz w:val="20"/>
                <w:szCs w:val="20"/>
              </w:rPr>
            </w:pPr>
            <w:r w:rsidRPr="00B37EC5">
              <w:rPr>
                <w:rFonts w:ascii="Times New Roman" w:eastAsia="Calibri" w:hAnsi="Times New Roman" w:cs="Times New Roman"/>
                <w:sz w:val="20"/>
                <w:szCs w:val="20"/>
              </w:rPr>
              <w:t>1</w:t>
            </w:r>
          </w:p>
        </w:tc>
        <w:tc>
          <w:tcPr>
            <w:tcW w:w="690" w:type="pct"/>
            <w:tcBorders>
              <w:top w:val="single" w:sz="4" w:space="0" w:color="auto"/>
              <w:left w:val="single" w:sz="4" w:space="0" w:color="auto"/>
              <w:bottom w:val="single" w:sz="4" w:space="0" w:color="auto"/>
            </w:tcBorders>
            <w:shd w:val="clear" w:color="FFFFFF" w:fill="auto"/>
          </w:tcPr>
          <w:p w:rsidR="003C044F" w:rsidRPr="00E33CB3" w:rsidRDefault="003C044F" w:rsidP="00510EC7">
            <w:pPr>
              <w:spacing w:after="0" w:line="240" w:lineRule="auto"/>
              <w:rPr>
                <w:rFonts w:ascii="Times New Roman" w:eastAsia="Times New Roman" w:hAnsi="Times New Roman" w:cs="Times New Roman"/>
              </w:rPr>
            </w:pPr>
            <w:r w:rsidRPr="00E33CB3">
              <w:rPr>
                <w:rFonts w:ascii="Times New Roman" w:eastAsia="Times New Roman" w:hAnsi="Times New Roman" w:cs="Times New Roman"/>
              </w:rPr>
              <w:t>Кислота лимонная пищевая</w:t>
            </w:r>
          </w:p>
        </w:tc>
        <w:tc>
          <w:tcPr>
            <w:tcW w:w="1739" w:type="pct"/>
            <w:tcBorders>
              <w:top w:val="single" w:sz="4" w:space="0" w:color="auto"/>
              <w:left w:val="single" w:sz="4" w:space="0" w:color="auto"/>
              <w:bottom w:val="single" w:sz="4" w:space="0" w:color="auto"/>
              <w:right w:val="single" w:sz="4" w:space="0" w:color="auto"/>
            </w:tcBorders>
            <w:shd w:val="clear" w:color="FFFFFF" w:fill="auto"/>
          </w:tcPr>
          <w:p w:rsidR="003C044F" w:rsidRPr="00E33CB3" w:rsidRDefault="003C044F" w:rsidP="00510EC7">
            <w:pPr>
              <w:spacing w:after="0" w:line="240" w:lineRule="auto"/>
              <w:ind w:left="181"/>
              <w:rPr>
                <w:rFonts w:ascii="Times New Roman" w:hAnsi="Times New Roman" w:cs="Times New Roman"/>
              </w:rPr>
            </w:pPr>
            <w:r w:rsidRPr="00E33CB3">
              <w:rPr>
                <w:rFonts w:ascii="Times New Roman" w:hAnsi="Times New Roman" w:cs="Times New Roman"/>
              </w:rPr>
              <w:t xml:space="preserve">Внешний вид и цвет: бесцветные кристаллы или белый порошок без комков. Вкус: кислый, без постороннего привкуса. Запах: отсутствие запаха. Структура: сыпучая и сухая, на ощупь не липкая. Механические примеси: отсутствуют. </w:t>
            </w:r>
          </w:p>
          <w:p w:rsidR="003C044F" w:rsidRPr="00E33CB3" w:rsidRDefault="003C044F" w:rsidP="00510EC7">
            <w:pPr>
              <w:spacing w:after="0" w:line="240" w:lineRule="auto"/>
              <w:ind w:left="181"/>
              <w:rPr>
                <w:rFonts w:ascii="Times New Roman" w:hAnsi="Times New Roman" w:cs="Times New Roman"/>
              </w:rPr>
            </w:pPr>
            <w:r w:rsidRPr="00E33CB3">
              <w:rPr>
                <w:rFonts w:ascii="Times New Roman" w:hAnsi="Times New Roman" w:cs="Times New Roman"/>
              </w:rPr>
              <w:t xml:space="preserve">Фасовка: 10 г - 100 г, в оригинальной упаковке производителя. </w:t>
            </w:r>
          </w:p>
          <w:p w:rsidR="003C044F" w:rsidRPr="00E33CB3" w:rsidRDefault="003C044F" w:rsidP="00510EC7">
            <w:pPr>
              <w:spacing w:after="0" w:line="240" w:lineRule="auto"/>
              <w:ind w:left="181"/>
              <w:rPr>
                <w:rFonts w:ascii="Times New Roman" w:hAnsi="Times New Roman" w:cs="Times New Roman"/>
              </w:rPr>
            </w:pPr>
            <w:r w:rsidRPr="00E33CB3">
              <w:rPr>
                <w:rFonts w:ascii="Times New Roman" w:hAnsi="Times New Roman" w:cs="Times New Roman"/>
              </w:rPr>
              <w:t>Срок годности: не более 24 месяцев.</w:t>
            </w:r>
          </w:p>
          <w:p w:rsidR="003C044F" w:rsidRPr="00E33CB3" w:rsidRDefault="003C044F" w:rsidP="00510EC7">
            <w:pPr>
              <w:spacing w:after="0" w:line="240" w:lineRule="auto"/>
              <w:ind w:left="181"/>
              <w:rPr>
                <w:rFonts w:ascii="Times New Roman" w:hAnsi="Times New Roman" w:cs="Times New Roman"/>
              </w:rPr>
            </w:pPr>
            <w:r w:rsidRPr="00E33CB3">
              <w:rPr>
                <w:rFonts w:ascii="Times New Roman" w:hAnsi="Times New Roman" w:cs="Times New Roman"/>
              </w:rPr>
              <w:t xml:space="preserve">Остаточный срок годности товара на момент поставки не менее </w:t>
            </w:r>
            <w:r>
              <w:rPr>
                <w:rFonts w:ascii="Times New Roman" w:hAnsi="Times New Roman" w:cs="Times New Roman"/>
              </w:rPr>
              <w:t>10 месяцев</w:t>
            </w:r>
            <w:r w:rsidRPr="00E33CB3">
              <w:rPr>
                <w:rFonts w:ascii="Times New Roman" w:hAnsi="Times New Roman" w:cs="Times New Roman"/>
              </w:rPr>
              <w:t xml:space="preserve"> от общего срока годности. </w:t>
            </w:r>
          </w:p>
          <w:p w:rsidR="003C044F" w:rsidRPr="00E33CB3" w:rsidRDefault="003C044F" w:rsidP="00510EC7">
            <w:pPr>
              <w:spacing w:after="0" w:line="240" w:lineRule="auto"/>
              <w:ind w:left="181"/>
              <w:rPr>
                <w:rFonts w:ascii="Times New Roman" w:hAnsi="Times New Roman" w:cs="Times New Roman"/>
              </w:rPr>
            </w:pPr>
            <w:r w:rsidRPr="00E33CB3">
              <w:rPr>
                <w:rFonts w:ascii="Times New Roman" w:hAnsi="Times New Roman" w:cs="Times New Roman"/>
              </w:rPr>
              <w:t xml:space="preserve">Продукт соответствует требованиям "ГОСТ 908-2004. Межгосударственный стандарт. Кислота лимонная моногидрат пищевая. Технические условия". ТР ТС 021/2011 "О безопасности пищевой продукции", ТР ТС 005/2011 "О безопасности упаковки", ТР ТС 022/2011 "Пищевая продукция в части ее маркировки". </w:t>
            </w:r>
          </w:p>
        </w:tc>
        <w:tc>
          <w:tcPr>
            <w:tcW w:w="280" w:type="pct"/>
            <w:tcBorders>
              <w:top w:val="single" w:sz="4" w:space="0" w:color="auto"/>
              <w:left w:val="single" w:sz="4" w:space="0" w:color="auto"/>
              <w:bottom w:val="single" w:sz="4" w:space="0" w:color="auto"/>
            </w:tcBorders>
            <w:shd w:val="clear" w:color="FFFFFF" w:fill="auto"/>
          </w:tcPr>
          <w:p w:rsidR="003C044F" w:rsidRPr="00B37EC5" w:rsidRDefault="003C044F" w:rsidP="00510EC7">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кг</w:t>
            </w:r>
          </w:p>
        </w:tc>
        <w:tc>
          <w:tcPr>
            <w:tcW w:w="227" w:type="pct"/>
            <w:tcBorders>
              <w:top w:val="single" w:sz="4" w:space="0" w:color="auto"/>
              <w:left w:val="single" w:sz="4" w:space="0" w:color="auto"/>
              <w:bottom w:val="single" w:sz="4" w:space="0" w:color="auto"/>
              <w:right w:val="single" w:sz="4" w:space="0" w:color="auto"/>
            </w:tcBorders>
            <w:shd w:val="clear" w:color="FFFFFF" w:fill="auto"/>
          </w:tcPr>
          <w:p w:rsidR="003C044F" w:rsidRPr="00B37EC5" w:rsidRDefault="003C044F" w:rsidP="00510EC7">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445" w:type="pct"/>
            <w:tcBorders>
              <w:top w:val="single" w:sz="4" w:space="0" w:color="auto"/>
              <w:left w:val="single" w:sz="4" w:space="0" w:color="auto"/>
              <w:bottom w:val="single" w:sz="4" w:space="0" w:color="auto"/>
              <w:right w:val="single" w:sz="4" w:space="0" w:color="auto"/>
            </w:tcBorders>
          </w:tcPr>
          <w:p w:rsidR="003C044F" w:rsidRPr="00B37EC5" w:rsidRDefault="003C044F" w:rsidP="00510EC7">
            <w:pPr>
              <w:spacing w:after="0" w:line="240" w:lineRule="auto"/>
              <w:jc w:val="center"/>
              <w:rPr>
                <w:rFonts w:ascii="Times New Roman" w:eastAsia="Calibri" w:hAnsi="Times New Roman" w:cs="Times New Roman"/>
                <w:sz w:val="20"/>
                <w:szCs w:val="20"/>
              </w:rPr>
            </w:pPr>
            <w:r w:rsidRPr="00B15CB3">
              <w:rPr>
                <w:rFonts w:ascii="Times New Roman" w:eastAsia="Calibri" w:hAnsi="Times New Roman" w:cs="Times New Roman"/>
                <w:sz w:val="20"/>
                <w:szCs w:val="20"/>
              </w:rPr>
              <w:t>20.14.34.231</w:t>
            </w:r>
          </w:p>
        </w:tc>
        <w:tc>
          <w:tcPr>
            <w:tcW w:w="527"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sz w:val="20"/>
                <w:szCs w:val="20"/>
              </w:rPr>
            </w:pPr>
          </w:p>
        </w:tc>
        <w:tc>
          <w:tcPr>
            <w:tcW w:w="262"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sz w:val="20"/>
                <w:szCs w:val="20"/>
              </w:rPr>
            </w:pPr>
          </w:p>
        </w:tc>
        <w:tc>
          <w:tcPr>
            <w:tcW w:w="354"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sz w:val="20"/>
                <w:szCs w:val="20"/>
              </w:rPr>
            </w:pPr>
          </w:p>
        </w:tc>
        <w:tc>
          <w:tcPr>
            <w:tcW w:w="347"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sz w:val="20"/>
                <w:szCs w:val="20"/>
              </w:rPr>
            </w:pPr>
          </w:p>
        </w:tc>
      </w:tr>
      <w:tr w:rsidR="003C044F" w:rsidRPr="00B37EC5" w:rsidTr="00510EC7">
        <w:tc>
          <w:tcPr>
            <w:tcW w:w="129" w:type="pct"/>
            <w:tcBorders>
              <w:top w:val="single" w:sz="4" w:space="0" w:color="auto"/>
              <w:left w:val="single" w:sz="4" w:space="0" w:color="auto"/>
              <w:bottom w:val="single" w:sz="4" w:space="0" w:color="auto"/>
              <w:right w:val="single" w:sz="4" w:space="0" w:color="auto"/>
            </w:tcBorders>
            <w:shd w:val="clear" w:color="FFFFFF" w:fill="auto"/>
          </w:tcPr>
          <w:p w:rsidR="003C044F" w:rsidRPr="00B37EC5" w:rsidRDefault="003C044F" w:rsidP="00510EC7">
            <w:pPr>
              <w:spacing w:after="0" w:line="240" w:lineRule="auto"/>
              <w:jc w:val="center"/>
              <w:rPr>
                <w:rFonts w:ascii="Times New Roman" w:eastAsia="Calibri" w:hAnsi="Times New Roman" w:cs="Times New Roman"/>
                <w:sz w:val="20"/>
                <w:szCs w:val="20"/>
              </w:rPr>
            </w:pPr>
            <w:r w:rsidRPr="00B37EC5">
              <w:rPr>
                <w:rFonts w:ascii="Times New Roman" w:eastAsia="Calibri" w:hAnsi="Times New Roman" w:cs="Times New Roman"/>
                <w:sz w:val="20"/>
                <w:szCs w:val="20"/>
              </w:rPr>
              <w:t>2</w:t>
            </w:r>
          </w:p>
        </w:tc>
        <w:tc>
          <w:tcPr>
            <w:tcW w:w="690" w:type="pct"/>
            <w:tcBorders>
              <w:top w:val="single" w:sz="4" w:space="0" w:color="auto"/>
              <w:left w:val="single" w:sz="4" w:space="0" w:color="auto"/>
              <w:bottom w:val="single" w:sz="4" w:space="0" w:color="auto"/>
            </w:tcBorders>
            <w:shd w:val="clear" w:color="FFFFFF" w:fill="auto"/>
          </w:tcPr>
          <w:p w:rsidR="003C044F" w:rsidRPr="00E33CB3" w:rsidRDefault="003C044F" w:rsidP="00510EC7">
            <w:pPr>
              <w:spacing w:after="0" w:line="240" w:lineRule="auto"/>
              <w:rPr>
                <w:rFonts w:ascii="Times New Roman" w:eastAsia="Times New Roman" w:hAnsi="Times New Roman" w:cs="Times New Roman"/>
                <w:sz w:val="20"/>
                <w:szCs w:val="20"/>
              </w:rPr>
            </w:pPr>
            <w:r w:rsidRPr="00361A7D">
              <w:rPr>
                <w:rFonts w:ascii="Times New Roman" w:eastAsia="Times New Roman" w:hAnsi="Times New Roman" w:cs="Times New Roman"/>
                <w:sz w:val="20"/>
                <w:szCs w:val="20"/>
              </w:rPr>
              <w:t>Сода пищевая</w:t>
            </w:r>
          </w:p>
        </w:tc>
        <w:tc>
          <w:tcPr>
            <w:tcW w:w="1739" w:type="pct"/>
            <w:tcBorders>
              <w:top w:val="single" w:sz="4" w:space="0" w:color="auto"/>
              <w:left w:val="single" w:sz="4" w:space="0" w:color="auto"/>
              <w:bottom w:val="single" w:sz="4" w:space="0" w:color="auto"/>
              <w:right w:val="single" w:sz="4" w:space="0" w:color="auto"/>
            </w:tcBorders>
            <w:shd w:val="clear" w:color="FFFFFF" w:fill="auto"/>
          </w:tcPr>
          <w:p w:rsidR="003C044F" w:rsidRDefault="003C044F" w:rsidP="00510EC7">
            <w:pPr>
              <w:spacing w:after="0" w:line="240" w:lineRule="auto"/>
              <w:rPr>
                <w:rFonts w:ascii="Times New Roman" w:eastAsia="Times New Roman" w:hAnsi="Times New Roman" w:cs="Times New Roman"/>
              </w:rPr>
            </w:pPr>
            <w:r w:rsidRPr="00361A7D">
              <w:rPr>
                <w:rFonts w:ascii="Times New Roman" w:eastAsia="Times New Roman" w:hAnsi="Times New Roman" w:cs="Times New Roman"/>
              </w:rPr>
              <w:t>Внешний вид, цвет:</w:t>
            </w:r>
            <w:r>
              <w:rPr>
                <w:rFonts w:ascii="Times New Roman" w:eastAsia="Times New Roman" w:hAnsi="Times New Roman" w:cs="Times New Roman"/>
              </w:rPr>
              <w:t xml:space="preserve"> б</w:t>
            </w:r>
            <w:r w:rsidRPr="00361A7D">
              <w:rPr>
                <w:rFonts w:ascii="Times New Roman" w:eastAsia="Times New Roman" w:hAnsi="Times New Roman" w:cs="Times New Roman"/>
              </w:rPr>
              <w:t>елый кристаллический порошок или бесцветные кристаллы</w:t>
            </w:r>
          </w:p>
          <w:p w:rsidR="003C044F" w:rsidRPr="00361A7D" w:rsidRDefault="003C044F" w:rsidP="00510EC7">
            <w:pPr>
              <w:spacing w:after="0" w:line="240" w:lineRule="auto"/>
              <w:rPr>
                <w:rFonts w:ascii="Times New Roman" w:eastAsia="Times New Roman" w:hAnsi="Times New Roman" w:cs="Times New Roman"/>
              </w:rPr>
            </w:pPr>
            <w:r w:rsidRPr="00361A7D">
              <w:rPr>
                <w:rFonts w:ascii="Times New Roman" w:eastAsia="Times New Roman" w:hAnsi="Times New Roman" w:cs="Times New Roman"/>
              </w:rPr>
              <w:t>Состав: натрий двууглекислый (гидрокарбонат натрия), пищевая добавка Е500, разрыхлитель.</w:t>
            </w:r>
          </w:p>
          <w:p w:rsidR="003C044F" w:rsidRDefault="003C044F" w:rsidP="00510EC7">
            <w:pPr>
              <w:spacing w:after="0" w:line="240" w:lineRule="auto"/>
              <w:rPr>
                <w:rFonts w:ascii="Times New Roman" w:eastAsia="Times New Roman" w:hAnsi="Times New Roman" w:cs="Times New Roman"/>
              </w:rPr>
            </w:pPr>
            <w:r w:rsidRPr="00361A7D">
              <w:rPr>
                <w:rFonts w:ascii="Times New Roman" w:eastAsia="Times New Roman" w:hAnsi="Times New Roman" w:cs="Times New Roman"/>
              </w:rPr>
              <w:t>Тип упаковки</w:t>
            </w:r>
            <w:r w:rsidRPr="00AF259A">
              <w:rPr>
                <w:rFonts w:ascii="Times New Roman" w:eastAsia="Times New Roman" w:hAnsi="Times New Roman" w:cs="Times New Roman"/>
              </w:rPr>
              <w:t>:</w:t>
            </w:r>
            <w:r>
              <w:rPr>
                <w:rFonts w:ascii="Times New Roman" w:eastAsia="Times New Roman" w:hAnsi="Times New Roman" w:cs="Times New Roman"/>
              </w:rPr>
              <w:t xml:space="preserve"> </w:t>
            </w:r>
            <w:r w:rsidRPr="00361A7D">
              <w:rPr>
                <w:rFonts w:ascii="Times New Roman" w:eastAsia="Times New Roman" w:hAnsi="Times New Roman" w:cs="Times New Roman"/>
              </w:rPr>
              <w:t>картонная</w:t>
            </w:r>
          </w:p>
          <w:p w:rsidR="003C044F" w:rsidRDefault="003C044F" w:rsidP="00510EC7">
            <w:pPr>
              <w:spacing w:after="0" w:line="240" w:lineRule="auto"/>
              <w:rPr>
                <w:rFonts w:ascii="Times New Roman" w:eastAsia="Times New Roman" w:hAnsi="Times New Roman" w:cs="Times New Roman"/>
              </w:rPr>
            </w:pPr>
            <w:r>
              <w:rPr>
                <w:rFonts w:ascii="Times New Roman" w:eastAsia="Times New Roman" w:hAnsi="Times New Roman" w:cs="Times New Roman"/>
              </w:rPr>
              <w:t>Фасовка</w:t>
            </w:r>
            <w:r w:rsidRPr="00361A7D">
              <w:rPr>
                <w:rFonts w:ascii="Times New Roman" w:eastAsia="Times New Roman" w:hAnsi="Times New Roman" w:cs="Times New Roman"/>
              </w:rPr>
              <w:t>:</w:t>
            </w:r>
            <w:r>
              <w:rPr>
                <w:rFonts w:ascii="Times New Roman" w:eastAsia="Times New Roman" w:hAnsi="Times New Roman" w:cs="Times New Roman"/>
              </w:rPr>
              <w:t xml:space="preserve"> 500 г</w:t>
            </w:r>
          </w:p>
          <w:p w:rsidR="003C044F" w:rsidRDefault="003C044F" w:rsidP="00510EC7">
            <w:pPr>
              <w:spacing w:after="0" w:line="240" w:lineRule="auto"/>
              <w:rPr>
                <w:rFonts w:ascii="Times New Roman" w:eastAsia="Times New Roman" w:hAnsi="Times New Roman" w:cs="Times New Roman"/>
              </w:rPr>
            </w:pPr>
            <w:r w:rsidRPr="00361A7D">
              <w:rPr>
                <w:rFonts w:ascii="Times New Roman" w:eastAsia="Times New Roman" w:hAnsi="Times New Roman" w:cs="Times New Roman"/>
              </w:rPr>
              <w:t>Остаточный срок годности товара на момент поставки не менее 10 месяцев от общего срока годности.</w:t>
            </w:r>
          </w:p>
          <w:p w:rsidR="003C044F" w:rsidRPr="00361A7D" w:rsidRDefault="003C044F" w:rsidP="00510EC7">
            <w:pPr>
              <w:spacing w:after="0" w:line="240" w:lineRule="auto"/>
              <w:rPr>
                <w:rFonts w:ascii="Times New Roman" w:eastAsia="Times New Roman" w:hAnsi="Times New Roman" w:cs="Times New Roman"/>
              </w:rPr>
            </w:pPr>
            <w:r w:rsidRPr="00E33CB3">
              <w:rPr>
                <w:rFonts w:ascii="Times New Roman" w:hAnsi="Times New Roman" w:cs="Times New Roman"/>
              </w:rPr>
              <w:t>ТР ТС 021/2011 "О безопасности пищевой продукции", ТР ТС 005/2011 "О безопасности упаковки", ТР ТС 022/2011 "Пищевая продукция в части ее маркировки".</w:t>
            </w:r>
          </w:p>
        </w:tc>
        <w:tc>
          <w:tcPr>
            <w:tcW w:w="280" w:type="pct"/>
            <w:tcBorders>
              <w:top w:val="single" w:sz="4" w:space="0" w:color="auto"/>
              <w:left w:val="single" w:sz="4" w:space="0" w:color="auto"/>
              <w:bottom w:val="single" w:sz="4" w:space="0" w:color="auto"/>
            </w:tcBorders>
            <w:shd w:val="clear" w:color="FFFFFF" w:fill="auto"/>
          </w:tcPr>
          <w:p w:rsidR="003C044F" w:rsidRPr="00B37EC5" w:rsidRDefault="003C044F" w:rsidP="00510EC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кг</w:t>
            </w:r>
          </w:p>
        </w:tc>
        <w:tc>
          <w:tcPr>
            <w:tcW w:w="227" w:type="pct"/>
            <w:tcBorders>
              <w:top w:val="single" w:sz="4" w:space="0" w:color="auto"/>
              <w:left w:val="single" w:sz="4" w:space="0" w:color="auto"/>
              <w:bottom w:val="single" w:sz="4" w:space="0" w:color="auto"/>
              <w:right w:val="single" w:sz="4" w:space="0" w:color="auto"/>
            </w:tcBorders>
            <w:shd w:val="clear" w:color="auto" w:fill="auto"/>
          </w:tcPr>
          <w:p w:rsidR="003C044F" w:rsidRPr="00B37EC5" w:rsidRDefault="003C044F" w:rsidP="00510EC7">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445" w:type="pct"/>
            <w:tcBorders>
              <w:top w:val="single" w:sz="4" w:space="0" w:color="auto"/>
              <w:left w:val="single" w:sz="4" w:space="0" w:color="auto"/>
              <w:bottom w:val="single" w:sz="4" w:space="0" w:color="auto"/>
              <w:right w:val="single" w:sz="4" w:space="0" w:color="auto"/>
            </w:tcBorders>
          </w:tcPr>
          <w:p w:rsidR="003C044F" w:rsidRPr="00B37EC5" w:rsidRDefault="003C044F" w:rsidP="00510EC7">
            <w:pPr>
              <w:spacing w:after="0" w:line="240" w:lineRule="auto"/>
              <w:jc w:val="center"/>
              <w:rPr>
                <w:rFonts w:ascii="Times New Roman" w:eastAsia="Times New Roman" w:hAnsi="Times New Roman" w:cs="Times New Roman"/>
                <w:sz w:val="20"/>
                <w:szCs w:val="20"/>
              </w:rPr>
            </w:pPr>
            <w:r w:rsidRPr="00361A7D">
              <w:rPr>
                <w:rFonts w:ascii="Times New Roman" w:eastAsia="Times New Roman" w:hAnsi="Times New Roman" w:cs="Times New Roman"/>
                <w:sz w:val="20"/>
                <w:szCs w:val="20"/>
              </w:rPr>
              <w:t>20.13.43.110</w:t>
            </w:r>
          </w:p>
        </w:tc>
        <w:tc>
          <w:tcPr>
            <w:tcW w:w="527"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color w:val="FF0000"/>
                <w:sz w:val="20"/>
                <w:szCs w:val="20"/>
              </w:rPr>
            </w:pPr>
          </w:p>
        </w:tc>
        <w:tc>
          <w:tcPr>
            <w:tcW w:w="262"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color w:val="FF0000"/>
                <w:sz w:val="20"/>
                <w:szCs w:val="20"/>
              </w:rPr>
            </w:pPr>
          </w:p>
        </w:tc>
        <w:tc>
          <w:tcPr>
            <w:tcW w:w="354"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color w:val="FF0000"/>
                <w:sz w:val="20"/>
                <w:szCs w:val="20"/>
              </w:rPr>
            </w:pPr>
          </w:p>
        </w:tc>
        <w:tc>
          <w:tcPr>
            <w:tcW w:w="347" w:type="pct"/>
            <w:tcBorders>
              <w:top w:val="single" w:sz="4" w:space="0" w:color="auto"/>
              <w:left w:val="single" w:sz="4" w:space="0" w:color="auto"/>
              <w:bottom w:val="single" w:sz="4" w:space="0" w:color="auto"/>
              <w:right w:val="single" w:sz="4" w:space="0" w:color="auto"/>
            </w:tcBorders>
            <w:shd w:val="clear" w:color="auto" w:fill="FFFF99"/>
          </w:tcPr>
          <w:p w:rsidR="003C044F" w:rsidRPr="00B37EC5" w:rsidRDefault="003C044F" w:rsidP="00510EC7">
            <w:pPr>
              <w:spacing w:after="0" w:line="240" w:lineRule="auto"/>
              <w:jc w:val="center"/>
              <w:rPr>
                <w:rFonts w:ascii="Times New Roman" w:eastAsia="Times New Roman" w:hAnsi="Times New Roman" w:cs="Times New Roman"/>
                <w:color w:val="FF0000"/>
                <w:sz w:val="20"/>
                <w:szCs w:val="20"/>
              </w:rPr>
            </w:pPr>
          </w:p>
        </w:tc>
      </w:tr>
    </w:tbl>
    <w:p w:rsidR="00170252" w:rsidRDefault="00170252" w:rsidP="000820E3">
      <w:pPr>
        <w:rPr>
          <w:rFonts w:ascii="Times New Roman" w:hAnsi="Times New Roman" w:cs="Times New Roman"/>
          <w:b/>
          <w:sz w:val="28"/>
          <w:szCs w:val="28"/>
        </w:rPr>
      </w:pPr>
    </w:p>
    <w:sectPr w:rsidR="00170252" w:rsidSect="003C044F">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D12" w:rsidRDefault="000D3D12">
      <w:pPr>
        <w:spacing w:after="0" w:line="240" w:lineRule="auto"/>
      </w:pPr>
      <w:r>
        <w:separator/>
      </w:r>
    </w:p>
  </w:endnote>
  <w:endnote w:type="continuationSeparator" w:id="0">
    <w:p w:rsidR="000D3D12" w:rsidRDefault="000D3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10138" w:rsidRDefault="00910138">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10138">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10138">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910138">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10138">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910138">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D12" w:rsidRDefault="000D3D12">
      <w:pPr>
        <w:spacing w:after="0" w:line="240" w:lineRule="auto"/>
      </w:pPr>
      <w:r>
        <w:separator/>
      </w:r>
    </w:p>
  </w:footnote>
  <w:footnote w:type="continuationSeparator" w:id="0">
    <w:p w:rsidR="000D3D12" w:rsidRDefault="000D3D1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10138" w:rsidRDefault="00910138">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10138" w:rsidRDefault="00910138">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10138" w:rsidRDefault="00910138">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3D12"/>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044F"/>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0138"/>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43EE1-7109-406B-BBF7-2E95065FE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5841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2026-10-30T06:14:00Z</dcterms:created>
  <dcterms:modified xsi:type="dcterms:W3CDTF">2026-10-30T06:14:00Z</dcterms:modified>
</cp:coreProperties>
</file>