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4A0" w:firstRow="1" w:lastRow="0" w:firstColumn="1" w:lastColumn="0" w:noHBand="0" w:noVBand="1"/>
      </w:tblPr>
      <w:tblGrid>
        <w:gridCol w:w="9747"/>
      </w:tblGrid>
      <w:tr w:rsidR="00BF2771" w:rsidRPr="00F27547" w:rsidTr="00564869">
        <w:tc>
          <w:tcPr>
            <w:tcW w:w="9747" w:type="dxa"/>
            <w:shd w:val="clear" w:color="auto" w:fill="FFFFFF" w:themeFill="background1"/>
            <w:vAlign w:val="bottom"/>
          </w:tcPr>
          <w:p w:rsidR="00BF2771" w:rsidRPr="00F27547" w:rsidRDefault="00BF2771" w:rsidP="00A91806">
            <w:pPr>
              <w:tabs>
                <w:tab w:val="left" w:pos="7088"/>
              </w:tabs>
              <w:spacing w:after="0"/>
              <w:rPr>
                <w:rFonts w:ascii="Times New Roman" w:hAnsi="Times New Roman" w:cs="Times New Roman"/>
                <w:b/>
                <w:sz w:val="24"/>
                <w:szCs w:val="24"/>
                <w:u w:val="single"/>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564869" w:rsidRDefault="00564869" w:rsidP="00564869">
            <w:pPr>
              <w:tabs>
                <w:tab w:val="left" w:pos="7088"/>
              </w:tabs>
              <w:spacing w:after="0"/>
              <w:jc w:val="right"/>
              <w:rPr>
                <w:rFonts w:ascii="Times New Roman" w:hAnsi="Times New Roman" w:cs="Times New Roman"/>
                <w:b/>
                <w:sz w:val="24"/>
                <w:szCs w:val="24"/>
              </w:rPr>
            </w:pPr>
            <w:r w:rsidRPr="00564869">
              <w:rPr>
                <w:rFonts w:ascii="Times New Roman" w:hAnsi="Times New Roman" w:cs="Times New Roman"/>
                <w:b/>
                <w:sz w:val="24"/>
                <w:szCs w:val="24"/>
              </w:rPr>
              <w:t xml:space="preserve">20.08.2019 </w:t>
            </w:r>
          </w:p>
        </w:tc>
        <w:tc>
          <w:tcPr>
            <w:tcW w:w="425" w:type="dxa"/>
            <w:tcBorders>
              <w:top w:val="nil"/>
              <w:left w:val="nil"/>
              <w:bottom w:val="nil"/>
              <w:right w:val="nil"/>
            </w:tcBorders>
            <w:shd w:val="clear" w:color="auto" w:fill="FFFFFF" w:themeFill="background1"/>
            <w:vAlign w:val="bottom"/>
          </w:tcPr>
          <w:p w:rsidR="002824B6" w:rsidRPr="00564869" w:rsidRDefault="002824B6" w:rsidP="002329D0">
            <w:pPr>
              <w:tabs>
                <w:tab w:val="left" w:pos="7088"/>
              </w:tabs>
              <w:spacing w:after="0"/>
              <w:rPr>
                <w:rFonts w:ascii="Times New Roman" w:hAnsi="Times New Roman" w:cs="Times New Roman"/>
                <w:b/>
                <w:sz w:val="24"/>
                <w:szCs w:val="24"/>
              </w:rPr>
            </w:pPr>
            <w:bookmarkStart w:id="0" w:name="_GoBack"/>
            <w:bookmarkEnd w:id="0"/>
          </w:p>
        </w:tc>
        <w:tc>
          <w:tcPr>
            <w:tcW w:w="2552" w:type="dxa"/>
            <w:tcBorders>
              <w:top w:val="nil"/>
              <w:left w:val="nil"/>
              <w:bottom w:val="single" w:sz="4" w:space="0" w:color="auto"/>
              <w:right w:val="nil"/>
            </w:tcBorders>
            <w:shd w:val="clear" w:color="auto" w:fill="FFFFFF" w:themeFill="background1"/>
            <w:vAlign w:val="bottom"/>
          </w:tcPr>
          <w:p w:rsidR="002824B6" w:rsidRPr="00564869" w:rsidRDefault="00564869" w:rsidP="00BF2771">
            <w:pPr>
              <w:tabs>
                <w:tab w:val="left" w:pos="7088"/>
              </w:tabs>
              <w:spacing w:after="0"/>
              <w:rPr>
                <w:rFonts w:ascii="Times New Roman" w:hAnsi="Times New Roman" w:cs="Times New Roman"/>
                <w:b/>
                <w:sz w:val="24"/>
                <w:szCs w:val="24"/>
              </w:rPr>
            </w:pPr>
            <w:r w:rsidRPr="00564869">
              <w:rPr>
                <w:rFonts w:ascii="Times New Roman" w:hAnsi="Times New Roman" w:cs="Times New Roman"/>
                <w:b/>
                <w:sz w:val="24"/>
                <w:szCs w:val="24"/>
              </w:rPr>
              <w:t>№ 10.8-03/586</w:t>
            </w:r>
          </w:p>
        </w:tc>
      </w:tr>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2329D0" w:rsidRPr="002329D0" w:rsidRDefault="002329D0" w:rsidP="00FF305A">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24BFA">
              <w:rPr>
                <w:rFonts w:ascii="Times New Roman" w:hAnsi="Times New Roman" w:cs="Times New Roman"/>
                <w:i/>
                <w:sz w:val="28"/>
                <w:szCs w:val="28"/>
              </w:rPr>
              <w:t>Поставка расходных материалов</w:t>
            </w:r>
            <w:r w:rsidRPr="002329D0">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D70B6B" w:rsidRDefault="00E961F8" w:rsidP="00D70B6B">
            <w:pPr>
              <w:ind w:right="-1"/>
              <w:rPr>
                <w:rFonts w:ascii="Times New Roman" w:hAnsi="Times New Roman" w:cs="Times New Roman"/>
              </w:rPr>
            </w:pPr>
            <w:r w:rsidRPr="00D70B6B">
              <w:rPr>
                <w:rFonts w:ascii="Times New Roman" w:hAnsi="Times New Roman" w:cs="Times New Roman"/>
              </w:rPr>
              <w:t xml:space="preserve">Санкт-Петербург, пос. Песочный, ул. </w:t>
            </w:r>
            <w:proofErr w:type="gramStart"/>
            <w:r w:rsidRPr="00D70B6B">
              <w:rPr>
                <w:rFonts w:ascii="Times New Roman" w:hAnsi="Times New Roman" w:cs="Times New Roman"/>
              </w:rPr>
              <w:t>Ленинградская</w:t>
            </w:r>
            <w:proofErr w:type="gramEnd"/>
            <w:r w:rsidRPr="00D70B6B">
              <w:rPr>
                <w:rFonts w:ascii="Times New Roman" w:hAnsi="Times New Roman" w:cs="Times New Roman"/>
              </w:rPr>
              <w:t>,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D70B6B" w:rsidRDefault="001309D1" w:rsidP="005A0184">
            <w:pPr>
              <w:ind w:right="-1"/>
              <w:rPr>
                <w:rFonts w:ascii="Times New Roman" w:hAnsi="Times New Roman" w:cs="Times New Roman"/>
              </w:rPr>
            </w:pPr>
            <w:r w:rsidRPr="00D70B6B">
              <w:rPr>
                <w:rFonts w:ascii="Times New Roman" w:hAnsi="Times New Roman" w:cs="Times New Roman"/>
              </w:rPr>
              <w:t>0</w:t>
            </w:r>
            <w:r w:rsidR="005A0184">
              <w:rPr>
                <w:rFonts w:ascii="Times New Roman" w:hAnsi="Times New Roman" w:cs="Times New Roman"/>
                <w:lang w:val="en-US"/>
              </w:rPr>
              <w:t>8</w:t>
            </w:r>
            <w:r w:rsidR="000302A2" w:rsidRPr="00D70B6B">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 xml:space="preserve">стоимость товара; </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упаковки товара;</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D70B6B" w:rsidRDefault="000302A2" w:rsidP="00D70B6B">
            <w:pPr>
              <w:ind w:right="-1"/>
              <w:rPr>
                <w:rFonts w:ascii="Times New Roman" w:hAnsi="Times New Roman" w:cs="Times New Roman"/>
              </w:rPr>
            </w:pPr>
            <w:r w:rsidRPr="00D70B6B">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D70B6B" w:rsidRDefault="005A0184" w:rsidP="005A0184">
            <w:pPr>
              <w:ind w:right="-1"/>
              <w:rPr>
                <w:rFonts w:ascii="Times New Roman" w:hAnsi="Times New Roman" w:cs="Times New Roman"/>
              </w:rPr>
            </w:pPr>
            <w:r>
              <w:rPr>
                <w:rFonts w:ascii="Times New Roman" w:hAnsi="Times New Roman" w:cs="Times New Roman"/>
                <w:lang w:val="en-US"/>
              </w:rPr>
              <w:t>1</w:t>
            </w:r>
            <w:r w:rsidR="000302A2" w:rsidRPr="00D70B6B">
              <w:rPr>
                <w:rFonts w:ascii="Times New Roman" w:hAnsi="Times New Roman" w:cs="Times New Roman"/>
              </w:rPr>
              <w:t xml:space="preserve"> (</w:t>
            </w:r>
            <w:r>
              <w:rPr>
                <w:rFonts w:ascii="Times New Roman" w:hAnsi="Times New Roman" w:cs="Times New Roman"/>
              </w:rPr>
              <w:t>одна</w:t>
            </w:r>
            <w:r w:rsidR="000302A2" w:rsidRPr="00D70B6B">
              <w:rPr>
                <w:rFonts w:ascii="Times New Roman" w:hAnsi="Times New Roman" w:cs="Times New Roman"/>
              </w:rPr>
              <w:t>)</w:t>
            </w:r>
            <w:r>
              <w:rPr>
                <w:rFonts w:ascii="Times New Roman" w:hAnsi="Times New Roman" w:cs="Times New Roman"/>
              </w:rPr>
              <w:t xml:space="preserve"> партия</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D70B6B" w:rsidRDefault="005A0184" w:rsidP="00D70B6B">
            <w:pPr>
              <w:ind w:right="-1"/>
              <w:rPr>
                <w:rFonts w:ascii="Times New Roman" w:hAnsi="Times New Roman" w:cs="Times New Roman"/>
              </w:rPr>
            </w:pPr>
            <w:r w:rsidRPr="005A0184">
              <w:rPr>
                <w:rFonts w:ascii="Times New Roman" w:hAnsi="Times New Roman"/>
              </w:rPr>
              <w:t>В течение 5 рабочих дней с момента подписания договора</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D70B6B" w:rsidRDefault="005A0184" w:rsidP="00D70B6B">
            <w:pPr>
              <w:ind w:right="-1"/>
              <w:rPr>
                <w:rFonts w:ascii="Times New Roman" w:hAnsi="Times New Roman" w:cs="Times New Roman"/>
              </w:rPr>
            </w:pPr>
            <w:r w:rsidRPr="005A0184">
              <w:rPr>
                <w:rFonts w:ascii="Times New Roman" w:hAnsi="Times New Roman"/>
              </w:rPr>
              <w:t>Срок годности на момент поставки должен быть не менее 70 % от срока годности указанного производителем.</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D70B6B" w:rsidRDefault="005A0184" w:rsidP="00D70B6B">
            <w:pPr>
              <w:ind w:right="-1"/>
              <w:rPr>
                <w:rFonts w:ascii="Times New Roman" w:hAnsi="Times New Roman" w:cs="Times New Roman"/>
              </w:rPr>
            </w:pPr>
            <w:r>
              <w:rPr>
                <w:rFonts w:ascii="Times New Roman" w:hAnsi="Times New Roman"/>
              </w:rPr>
              <w:t>Нет</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D70B6B" w:rsidRDefault="00073558" w:rsidP="006910B0">
            <w:pPr>
              <w:ind w:right="-1"/>
              <w:rPr>
                <w:rFonts w:ascii="Times New Roman" w:hAnsi="Times New Roman" w:cs="Times New Roman"/>
              </w:rPr>
            </w:pPr>
            <w:r w:rsidRPr="00D70B6B">
              <w:rPr>
                <w:rFonts w:ascii="Times New Roman" w:hAnsi="Times New Roman"/>
              </w:rPr>
              <w:t>В течение 30 календарных дней с момента подписания УПД, в течение 15 рабочих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D70B6B" w:rsidRDefault="00203B06" w:rsidP="00203B06">
            <w:pPr>
              <w:ind w:right="-1"/>
              <w:rPr>
                <w:rFonts w:ascii="Times New Roman" w:hAnsi="Times New Roman" w:cs="Times New Roman"/>
              </w:rPr>
            </w:pPr>
            <w:r>
              <w:rPr>
                <w:rFonts w:ascii="Times New Roman" w:hAnsi="Times New Roman" w:cs="Times New Roman"/>
              </w:rPr>
              <w:t>23</w:t>
            </w:r>
            <w:r w:rsidR="001309D1" w:rsidRPr="00D70B6B">
              <w:rPr>
                <w:rFonts w:ascii="Times New Roman" w:hAnsi="Times New Roman" w:cs="Times New Roman"/>
              </w:rPr>
              <w:t>.0</w:t>
            </w:r>
            <w:r w:rsidR="00D70B6B" w:rsidRPr="00D70B6B">
              <w:rPr>
                <w:rFonts w:ascii="Times New Roman" w:hAnsi="Times New Roman" w:cs="Times New Roman"/>
              </w:rPr>
              <w:t>8</w:t>
            </w:r>
            <w:r w:rsidR="000302A2" w:rsidRPr="00D70B6B">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690"/>
        <w:gridCol w:w="990"/>
        <w:gridCol w:w="569"/>
        <w:gridCol w:w="567"/>
        <w:gridCol w:w="843"/>
        <w:gridCol w:w="990"/>
      </w:tblGrid>
      <w:tr w:rsidR="00A433EB" w:rsidRPr="005107B7" w:rsidTr="00CD67FE">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 xml:space="preserve">№ </w:t>
            </w:r>
            <w:proofErr w:type="gramStart"/>
            <w:r w:rsidRPr="005107B7">
              <w:rPr>
                <w:rFonts w:ascii="Times New Roman" w:eastAsia="Times New Roman" w:hAnsi="Times New Roman" w:cs="Times New Roman"/>
                <w:b/>
                <w:bCs/>
                <w:lang w:eastAsia="ru-RU"/>
              </w:rPr>
              <w:t>п</w:t>
            </w:r>
            <w:proofErr w:type="gramEnd"/>
            <w:r w:rsidRPr="005107B7">
              <w:rPr>
                <w:rFonts w:ascii="Times New Roman" w:eastAsia="Times New Roman" w:hAnsi="Times New Roman" w:cs="Times New Roman"/>
                <w:b/>
                <w:bCs/>
                <w:lang w:eastAsia="ru-RU"/>
              </w:rPr>
              <w:t>/п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Наименование товара</w:t>
            </w:r>
          </w:p>
        </w:tc>
        <w:tc>
          <w:tcPr>
            <w:tcW w:w="186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Технические характеристики</w:t>
            </w:r>
          </w:p>
        </w:tc>
        <w:tc>
          <w:tcPr>
            <w:tcW w:w="499" w:type="pct"/>
            <w:tcBorders>
              <w:top w:val="single" w:sz="4" w:space="0" w:color="000000"/>
              <w:left w:val="nil"/>
              <w:bottom w:val="single" w:sz="4" w:space="0" w:color="auto"/>
              <w:right w:val="nil"/>
            </w:tcBorders>
            <w:shd w:val="clear" w:color="auto" w:fill="auto"/>
            <w:vAlign w:val="center"/>
            <w:hideMark/>
          </w:tcPr>
          <w:p w:rsidR="001309D1" w:rsidRPr="005107B7" w:rsidRDefault="001309D1" w:rsidP="005107B7">
            <w:pPr>
              <w:spacing w:after="0" w:line="240" w:lineRule="auto"/>
              <w:ind w:left="-82" w:right="-140"/>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Ед.</w:t>
            </w:r>
            <w:r w:rsidR="00D70B6B" w:rsidRPr="005107B7">
              <w:rPr>
                <w:rFonts w:ascii="Times New Roman" w:eastAsia="Times New Roman" w:hAnsi="Times New Roman" w:cs="Times New Roman"/>
                <w:b/>
                <w:bCs/>
                <w:lang w:eastAsia="ru-RU"/>
              </w:rPr>
              <w:t xml:space="preserve"> </w:t>
            </w:r>
            <w:r w:rsidRPr="005107B7">
              <w:rPr>
                <w:rFonts w:ascii="Times New Roman" w:eastAsia="Times New Roman" w:hAnsi="Times New Roman" w:cs="Times New Roman"/>
                <w:b/>
                <w:bCs/>
                <w:lang w:eastAsia="ru-RU"/>
              </w:rPr>
              <w:t>изм.</w:t>
            </w:r>
          </w:p>
        </w:tc>
        <w:tc>
          <w:tcPr>
            <w:tcW w:w="287" w:type="pct"/>
            <w:tcBorders>
              <w:top w:val="single" w:sz="4" w:space="0" w:color="000000"/>
              <w:left w:val="single" w:sz="4" w:space="0" w:color="000000"/>
              <w:bottom w:val="single" w:sz="4" w:space="0" w:color="auto"/>
              <w:right w:val="nil"/>
            </w:tcBorders>
            <w:shd w:val="clear" w:color="auto" w:fill="auto"/>
            <w:vAlign w:val="center"/>
            <w:hideMark/>
          </w:tcPr>
          <w:p w:rsidR="001309D1" w:rsidRPr="005107B7" w:rsidRDefault="001309D1" w:rsidP="005107B7">
            <w:pPr>
              <w:spacing w:after="0" w:line="240" w:lineRule="auto"/>
              <w:ind w:left="-106" w:right="-109"/>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ind w:left="-107" w:right="-108"/>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Цена за ед. с НДС</w:t>
            </w:r>
            <w:r w:rsidR="005A0184">
              <w:rPr>
                <w:rFonts w:ascii="Times New Roman" w:eastAsia="Times New Roman" w:hAnsi="Times New Roman" w:cs="Times New Roman"/>
                <w:b/>
                <w:bCs/>
                <w:highlight w:val="yellow"/>
                <w:lang w:eastAsia="ru-RU"/>
              </w:rPr>
              <w:t xml:space="preserve"> (руб.)</w:t>
            </w:r>
            <w:r w:rsidRPr="005107B7">
              <w:rPr>
                <w:rFonts w:ascii="Times New Roman" w:eastAsia="Times New Roman" w:hAnsi="Times New Roman" w:cs="Times New Roman"/>
                <w:b/>
                <w:bCs/>
                <w:highlight w:val="yellow"/>
                <w:lang w:eastAsia="ru-RU"/>
              </w:rPr>
              <w:t>*</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Сумма</w:t>
            </w:r>
            <w:r w:rsidR="005A0184">
              <w:rPr>
                <w:rFonts w:ascii="Times New Roman" w:eastAsia="Times New Roman" w:hAnsi="Times New Roman" w:cs="Times New Roman"/>
                <w:b/>
                <w:bCs/>
                <w:highlight w:val="yellow"/>
                <w:lang w:eastAsia="ru-RU"/>
              </w:rPr>
              <w:t xml:space="preserve"> (руб.)</w:t>
            </w:r>
            <w:r w:rsidRPr="005107B7">
              <w:rPr>
                <w:rFonts w:ascii="Times New Roman" w:eastAsia="Times New Roman" w:hAnsi="Times New Roman" w:cs="Times New Roman"/>
                <w:b/>
                <w:bCs/>
                <w:highlight w:val="yellow"/>
                <w:lang w:eastAsia="ru-RU"/>
              </w:rPr>
              <w:t>*</w:t>
            </w:r>
          </w:p>
        </w:tc>
      </w:tr>
      <w:tr w:rsidR="00C54CFA" w:rsidRPr="005107B7" w:rsidTr="00000744">
        <w:trPr>
          <w:trHeight w:val="6822"/>
        </w:trPr>
        <w:tc>
          <w:tcPr>
            <w:tcW w:w="286" w:type="pct"/>
            <w:tcBorders>
              <w:top w:val="single" w:sz="4" w:space="0" w:color="auto"/>
              <w:left w:val="single" w:sz="4" w:space="0" w:color="auto"/>
              <w:bottom w:val="single" w:sz="4" w:space="0" w:color="auto"/>
              <w:right w:val="single" w:sz="4" w:space="0" w:color="auto"/>
            </w:tcBorders>
            <w:shd w:val="clear" w:color="auto" w:fill="auto"/>
          </w:tcPr>
          <w:p w:rsidR="00C54CFA" w:rsidRPr="005107B7" w:rsidRDefault="00C54CFA" w:rsidP="00C54CFA">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Раствор антикоагулянта "</w:t>
            </w:r>
            <w:proofErr w:type="spellStart"/>
            <w:r w:rsidRPr="00C54CFA">
              <w:rPr>
                <w:rFonts w:ascii="Times New Roman" w:hAnsi="Times New Roman" w:cs="Times New Roman"/>
              </w:rPr>
              <w:t>Призмоцитрат</w:t>
            </w:r>
            <w:proofErr w:type="spellEnd"/>
            <w:r w:rsidRPr="00C54CFA">
              <w:rPr>
                <w:rFonts w:ascii="Times New Roman" w:hAnsi="Times New Roman" w:cs="Times New Roman"/>
              </w:rPr>
              <w:t xml:space="preserve">", вариант исполнения 10/2 для аппаратов CRRT </w:t>
            </w:r>
            <w:proofErr w:type="spellStart"/>
            <w:r w:rsidRPr="00C54CFA">
              <w:rPr>
                <w:rFonts w:ascii="Times New Roman" w:hAnsi="Times New Roman" w:cs="Times New Roman"/>
              </w:rPr>
              <w:t>Prismaflex</w:t>
            </w:r>
            <w:proofErr w:type="spellEnd"/>
            <w:r w:rsidRPr="00C54CFA">
              <w:rPr>
                <w:rFonts w:ascii="Times New Roman" w:hAnsi="Times New Roman" w:cs="Times New Roman"/>
              </w:rPr>
              <w:t>, 5 литров</w:t>
            </w:r>
          </w:p>
          <w:p w:rsidR="00C54CFA" w:rsidRPr="00C54CFA" w:rsidRDefault="00C54CFA" w:rsidP="00C54CFA">
            <w:pPr>
              <w:spacing w:after="0" w:line="240" w:lineRule="auto"/>
              <w:rPr>
                <w:rFonts w:ascii="Times New Roman" w:hAnsi="Times New Roman" w:cs="Times New Roman"/>
              </w:rPr>
            </w:pP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C54CFA" w:rsidRPr="00C54CFA" w:rsidRDefault="00C54CFA" w:rsidP="00C54CFA">
            <w:pPr>
              <w:spacing w:after="0" w:line="240" w:lineRule="auto"/>
              <w:rPr>
                <w:rFonts w:ascii="Times New Roman" w:hAnsi="Times New Roman" w:cs="Times New Roman"/>
              </w:rPr>
            </w:pPr>
            <w:proofErr w:type="gramStart"/>
            <w:r w:rsidRPr="00C54CFA">
              <w:rPr>
                <w:rFonts w:ascii="Times New Roman" w:hAnsi="Times New Roman" w:cs="Times New Roman"/>
              </w:rPr>
              <w:t xml:space="preserve">Мешок однокамерный – наличие; Материал упаковки – полихлорвинил; Фасовка: пакет, мл – 5 000; Порт для инъекций – наличие; Разъем для присоединения системы магистралей, типа </w:t>
            </w:r>
            <w:proofErr w:type="spellStart"/>
            <w:r w:rsidRPr="00C54CFA">
              <w:rPr>
                <w:rFonts w:ascii="Times New Roman" w:hAnsi="Times New Roman" w:cs="Times New Roman"/>
              </w:rPr>
              <w:t>Луер</w:t>
            </w:r>
            <w:proofErr w:type="spellEnd"/>
            <w:r w:rsidRPr="00C54CFA">
              <w:rPr>
                <w:rFonts w:ascii="Times New Roman" w:hAnsi="Times New Roman" w:cs="Times New Roman"/>
              </w:rPr>
              <w:t xml:space="preserve"> – наличие; Состав раствора:</w:t>
            </w:r>
            <w:proofErr w:type="gramEnd"/>
            <w:r w:rsidRPr="00C54CFA">
              <w:rPr>
                <w:rFonts w:ascii="Times New Roman" w:hAnsi="Times New Roman" w:cs="Times New Roman"/>
              </w:rPr>
              <w:t xml:space="preserve">- Цитрат – 10,0 </w:t>
            </w:r>
            <w:proofErr w:type="spellStart"/>
            <w:r w:rsidRPr="00C54CFA">
              <w:rPr>
                <w:rFonts w:ascii="Times New Roman" w:hAnsi="Times New Roman" w:cs="Times New Roman"/>
              </w:rPr>
              <w:t>ммоль</w:t>
            </w:r>
            <w:proofErr w:type="spellEnd"/>
            <w:r w:rsidRPr="00C54CFA">
              <w:rPr>
                <w:rFonts w:ascii="Times New Roman" w:hAnsi="Times New Roman" w:cs="Times New Roman"/>
              </w:rPr>
              <w:t>/</w:t>
            </w:r>
            <w:proofErr w:type="gramStart"/>
            <w:r w:rsidRPr="00C54CFA">
              <w:rPr>
                <w:rFonts w:ascii="Times New Roman" w:hAnsi="Times New Roman" w:cs="Times New Roman"/>
              </w:rPr>
              <w:t>л-</w:t>
            </w:r>
            <w:proofErr w:type="gramEnd"/>
            <w:r w:rsidRPr="00C54CFA">
              <w:rPr>
                <w:rFonts w:ascii="Times New Roman" w:hAnsi="Times New Roman" w:cs="Times New Roman"/>
              </w:rPr>
              <w:t xml:space="preserve"> Лимонная кислота - 2 </w:t>
            </w:r>
            <w:proofErr w:type="spellStart"/>
            <w:r w:rsidRPr="00C54CFA">
              <w:rPr>
                <w:rFonts w:ascii="Times New Roman" w:hAnsi="Times New Roman" w:cs="Times New Roman"/>
              </w:rPr>
              <w:t>ммоль</w:t>
            </w:r>
            <w:proofErr w:type="spellEnd"/>
            <w:r w:rsidRPr="00C54CFA">
              <w:rPr>
                <w:rFonts w:ascii="Times New Roman" w:hAnsi="Times New Roman" w:cs="Times New Roman"/>
              </w:rPr>
              <w:t xml:space="preserve">/л- Натрий - 136,0 </w:t>
            </w:r>
            <w:proofErr w:type="spellStart"/>
            <w:r w:rsidRPr="00C54CFA">
              <w:rPr>
                <w:rFonts w:ascii="Times New Roman" w:hAnsi="Times New Roman" w:cs="Times New Roman"/>
              </w:rPr>
              <w:t>ммоль</w:t>
            </w:r>
            <w:proofErr w:type="spellEnd"/>
            <w:r w:rsidRPr="00C54CFA">
              <w:rPr>
                <w:rFonts w:ascii="Times New Roman" w:hAnsi="Times New Roman" w:cs="Times New Roman"/>
              </w:rPr>
              <w:t xml:space="preserve">/л- Хлор – 106,0 </w:t>
            </w:r>
            <w:proofErr w:type="spellStart"/>
            <w:r w:rsidRPr="00C54CFA">
              <w:rPr>
                <w:rFonts w:ascii="Times New Roman" w:hAnsi="Times New Roman" w:cs="Times New Roman"/>
              </w:rPr>
              <w:t>ммоль</w:t>
            </w:r>
            <w:proofErr w:type="spellEnd"/>
            <w:r w:rsidRPr="00C54CFA">
              <w:rPr>
                <w:rFonts w:ascii="Times New Roman" w:hAnsi="Times New Roman" w:cs="Times New Roman"/>
              </w:rPr>
              <w:t xml:space="preserve">/л;- Теоретическая </w:t>
            </w:r>
            <w:proofErr w:type="spellStart"/>
            <w:r w:rsidRPr="00C54CFA">
              <w:rPr>
                <w:rFonts w:ascii="Times New Roman" w:hAnsi="Times New Roman" w:cs="Times New Roman"/>
              </w:rPr>
              <w:t>осмолярность</w:t>
            </w:r>
            <w:proofErr w:type="spellEnd"/>
            <w:r w:rsidRPr="00C54CFA">
              <w:rPr>
                <w:rFonts w:ascii="Times New Roman" w:hAnsi="Times New Roman" w:cs="Times New Roman"/>
              </w:rPr>
              <w:t xml:space="preserve"> – 254 </w:t>
            </w:r>
            <w:proofErr w:type="spellStart"/>
            <w:r w:rsidRPr="00C54CFA">
              <w:rPr>
                <w:rFonts w:ascii="Times New Roman" w:hAnsi="Times New Roman" w:cs="Times New Roman"/>
              </w:rPr>
              <w:t>мОсм</w:t>
            </w:r>
            <w:proofErr w:type="spellEnd"/>
            <w:r w:rsidRPr="00C54CFA">
              <w:rPr>
                <w:rFonts w:ascii="Times New Roman" w:hAnsi="Times New Roman" w:cs="Times New Roman"/>
              </w:rPr>
              <w:t xml:space="preserve">/л. </w:t>
            </w:r>
            <w:proofErr w:type="spellStart"/>
            <w:r w:rsidRPr="00C54CFA">
              <w:rPr>
                <w:rFonts w:ascii="Times New Roman" w:hAnsi="Times New Roman" w:cs="Times New Roman"/>
              </w:rPr>
              <w:t>Низкокоцентрированный</w:t>
            </w:r>
            <w:proofErr w:type="spellEnd"/>
            <w:r w:rsidRPr="00C54CFA">
              <w:rPr>
                <w:rFonts w:ascii="Times New Roman" w:hAnsi="Times New Roman" w:cs="Times New Roman"/>
              </w:rPr>
              <w:t xml:space="preserve"> цитратный раствор антикоагулянта для регионарной цитратной </w:t>
            </w:r>
            <w:proofErr w:type="spellStart"/>
            <w:r w:rsidRPr="00C54CFA">
              <w:rPr>
                <w:rFonts w:ascii="Times New Roman" w:hAnsi="Times New Roman" w:cs="Times New Roman"/>
              </w:rPr>
              <w:t>антикоагуляции</w:t>
            </w:r>
            <w:proofErr w:type="spellEnd"/>
            <w:r w:rsidRPr="00C54CFA">
              <w:rPr>
                <w:rFonts w:ascii="Times New Roman" w:hAnsi="Times New Roman" w:cs="Times New Roman"/>
              </w:rPr>
              <w:t xml:space="preserve"> в экстракорпоральном контуре во время ПЗПТ. Не для </w:t>
            </w:r>
            <w:proofErr w:type="gramStart"/>
            <w:r w:rsidRPr="00C54CFA">
              <w:rPr>
                <w:rFonts w:ascii="Times New Roman" w:hAnsi="Times New Roman" w:cs="Times New Roman"/>
              </w:rPr>
              <w:t>прямых</w:t>
            </w:r>
            <w:proofErr w:type="gramEnd"/>
            <w:r w:rsidRPr="00C54CFA">
              <w:rPr>
                <w:rFonts w:ascii="Times New Roman" w:hAnsi="Times New Roman" w:cs="Times New Roman"/>
              </w:rPr>
              <w:t xml:space="preserve"> внутривенных </w:t>
            </w:r>
            <w:proofErr w:type="spellStart"/>
            <w:r w:rsidRPr="00C54CFA">
              <w:rPr>
                <w:rFonts w:ascii="Times New Roman" w:hAnsi="Times New Roman" w:cs="Times New Roman"/>
              </w:rPr>
              <w:t>инфузий</w:t>
            </w:r>
            <w:proofErr w:type="spellEnd"/>
            <w:r w:rsidRPr="00C54CFA">
              <w:rPr>
                <w:rFonts w:ascii="Times New Roman" w:hAnsi="Times New Roman" w:cs="Times New Roman"/>
              </w:rPr>
              <w:t xml:space="preserve"> Раствор  используется в режиме </w:t>
            </w:r>
            <w:proofErr w:type="spellStart"/>
            <w:r w:rsidRPr="00C54CFA">
              <w:rPr>
                <w:rFonts w:ascii="Times New Roman" w:hAnsi="Times New Roman" w:cs="Times New Roman"/>
              </w:rPr>
              <w:t>предилюции</w:t>
            </w:r>
            <w:proofErr w:type="spellEnd"/>
            <w:r w:rsidRPr="00C54CFA">
              <w:rPr>
                <w:rFonts w:ascii="Times New Roman" w:hAnsi="Times New Roman" w:cs="Times New Roman"/>
              </w:rPr>
              <w:t xml:space="preserve"> только с диализным аппаратом для ПЗПТ, при условии, что диализный аппарат подходит для цитратной </w:t>
            </w:r>
            <w:proofErr w:type="spellStart"/>
            <w:r w:rsidRPr="00C54CFA">
              <w:rPr>
                <w:rFonts w:ascii="Times New Roman" w:hAnsi="Times New Roman" w:cs="Times New Roman"/>
              </w:rPr>
              <w:t>антикоагуляции</w:t>
            </w:r>
            <w:proofErr w:type="spellEnd"/>
            <w:r w:rsidRPr="00C54CFA">
              <w:rPr>
                <w:rFonts w:ascii="Times New Roman" w:hAnsi="Times New Roman" w:cs="Times New Roman"/>
              </w:rPr>
              <w:t xml:space="preserve">. Не содержит кальций и магний; может вызвать алкалоз и/или </w:t>
            </w:r>
            <w:proofErr w:type="spellStart"/>
            <w:r w:rsidRPr="00C54CFA">
              <w:rPr>
                <w:rFonts w:ascii="Times New Roman" w:hAnsi="Times New Roman" w:cs="Times New Roman"/>
              </w:rPr>
              <w:t>гипокальциемию</w:t>
            </w:r>
            <w:proofErr w:type="spellEnd"/>
            <w:r w:rsidRPr="00C54CFA">
              <w:rPr>
                <w:rFonts w:ascii="Times New Roman" w:hAnsi="Times New Roman" w:cs="Times New Roman"/>
              </w:rPr>
              <w:t xml:space="preserve"> и/или </w:t>
            </w:r>
            <w:proofErr w:type="spellStart"/>
            <w:r w:rsidRPr="00C54CFA">
              <w:rPr>
                <w:rFonts w:ascii="Times New Roman" w:hAnsi="Times New Roman" w:cs="Times New Roman"/>
              </w:rPr>
              <w:t>гипомагниемию</w:t>
            </w:r>
            <w:proofErr w:type="spellEnd"/>
            <w:r w:rsidRPr="00C54CFA">
              <w:rPr>
                <w:rFonts w:ascii="Times New Roman" w:hAnsi="Times New Roman" w:cs="Times New Roman"/>
              </w:rPr>
              <w:t xml:space="preserve">. </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54CFA" w:rsidRPr="00CD67FE" w:rsidRDefault="00C54CFA" w:rsidP="00C54CFA">
            <w:pPr>
              <w:spacing w:after="0" w:line="240" w:lineRule="auto"/>
              <w:ind w:left="-110" w:right="-106"/>
              <w:jc w:val="center"/>
              <w:rPr>
                <w:rFonts w:ascii="Times New Roman" w:eastAsia="Times New Roman" w:hAnsi="Times New Roman" w:cs="Times New Roman"/>
                <w:lang w:eastAsia="ru-RU"/>
              </w:rPr>
            </w:pPr>
            <w:r w:rsidRPr="00F24BFA">
              <w:rPr>
                <w:rFonts w:ascii="Times New Roman" w:eastAsia="Times New Roman" w:hAnsi="Times New Roman" w:cs="Times New Roman"/>
                <w:lang w:eastAsia="ru-RU"/>
              </w:rPr>
              <w:t>шт.</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C54CFA" w:rsidRPr="00CD67FE" w:rsidRDefault="00C54CFA" w:rsidP="00C54CFA">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r>
      <w:tr w:rsidR="00C54CFA" w:rsidRPr="005107B7" w:rsidTr="00246510">
        <w:trPr>
          <w:trHeight w:val="2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C54CFA" w:rsidRPr="005107B7" w:rsidRDefault="00C54CFA" w:rsidP="00C54CFA">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Раствор </w:t>
            </w:r>
            <w:proofErr w:type="spellStart"/>
            <w:r w:rsidRPr="00C54CFA">
              <w:rPr>
                <w:rFonts w:ascii="Times New Roman" w:hAnsi="Times New Roman" w:cs="Times New Roman"/>
              </w:rPr>
              <w:t>гемодиализный</w:t>
            </w:r>
            <w:proofErr w:type="spellEnd"/>
            <w:r w:rsidRPr="00C54CFA">
              <w:rPr>
                <w:rFonts w:ascii="Times New Roman" w:hAnsi="Times New Roman" w:cs="Times New Roman"/>
              </w:rPr>
              <w:t xml:space="preserve"> Prism0cal для аппаратов  CRRT </w:t>
            </w:r>
            <w:proofErr w:type="spellStart"/>
            <w:r w:rsidRPr="00C54CFA">
              <w:rPr>
                <w:rFonts w:ascii="Times New Roman" w:hAnsi="Times New Roman" w:cs="Times New Roman"/>
              </w:rPr>
              <w:t>Prismaflex</w:t>
            </w:r>
            <w:proofErr w:type="spellEnd"/>
            <w:r w:rsidRPr="00C54CFA">
              <w:rPr>
                <w:rFonts w:ascii="Times New Roman" w:hAnsi="Times New Roman" w:cs="Times New Roman"/>
              </w:rPr>
              <w:t>, 5 литров</w:t>
            </w:r>
          </w:p>
          <w:p w:rsidR="00C54CFA" w:rsidRPr="00C54CFA" w:rsidRDefault="00C54CFA" w:rsidP="00C54CFA">
            <w:pPr>
              <w:spacing w:after="0" w:line="240" w:lineRule="auto"/>
              <w:rPr>
                <w:rFonts w:ascii="Times New Roman" w:hAnsi="Times New Roman" w:cs="Times New Roman"/>
              </w:rPr>
            </w:pP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C54CFA" w:rsidRPr="00C54CFA" w:rsidRDefault="00C54CFA" w:rsidP="00C54CFA">
            <w:pPr>
              <w:spacing w:after="0" w:line="240" w:lineRule="auto"/>
              <w:rPr>
                <w:rFonts w:ascii="Times New Roman" w:hAnsi="Times New Roman" w:cs="Times New Roman"/>
              </w:rPr>
            </w:pPr>
            <w:proofErr w:type="gramStart"/>
            <w:r w:rsidRPr="00C54CFA">
              <w:rPr>
                <w:rFonts w:ascii="Times New Roman" w:hAnsi="Times New Roman" w:cs="Times New Roman"/>
              </w:rPr>
              <w:t xml:space="preserve">Разделенные компоненты: мешок двухкомпонентный – наличие; Фасовка: пакет, мл – 5 000;Порт для инъекций – наличие; Разъем для присоединения системы магистралей, типа </w:t>
            </w:r>
            <w:proofErr w:type="spellStart"/>
            <w:r w:rsidRPr="00C54CFA">
              <w:rPr>
                <w:rFonts w:ascii="Times New Roman" w:hAnsi="Times New Roman" w:cs="Times New Roman"/>
              </w:rPr>
              <w:t>Луер</w:t>
            </w:r>
            <w:proofErr w:type="spellEnd"/>
            <w:r w:rsidRPr="00C54CFA">
              <w:rPr>
                <w:rFonts w:ascii="Times New Roman" w:hAnsi="Times New Roman" w:cs="Times New Roman"/>
              </w:rPr>
              <w:t xml:space="preserve"> – наличие; Состав приготовленного раствора (</w:t>
            </w:r>
            <w:proofErr w:type="spellStart"/>
            <w:r w:rsidRPr="00C54CFA">
              <w:rPr>
                <w:rFonts w:ascii="Times New Roman" w:hAnsi="Times New Roman" w:cs="Times New Roman"/>
              </w:rPr>
              <w:t>ммоль</w:t>
            </w:r>
            <w:proofErr w:type="spellEnd"/>
            <w:r w:rsidRPr="00C54CFA">
              <w:rPr>
                <w:rFonts w:ascii="Times New Roman" w:hAnsi="Times New Roman" w:cs="Times New Roman"/>
              </w:rPr>
              <w:t>/л):</w:t>
            </w:r>
            <w:proofErr w:type="gramEnd"/>
            <w:r w:rsidRPr="00C54CFA">
              <w:rPr>
                <w:rFonts w:ascii="Times New Roman" w:hAnsi="Times New Roman" w:cs="Times New Roman"/>
              </w:rPr>
              <w:t xml:space="preserve">- Натрий: 140,0- Калий: 0- Кальций: 0- Магний: 0,5- Глюкоза: 0- Хлор: 106,0- Бикарбонат: 32,0- </w:t>
            </w:r>
            <w:proofErr w:type="spellStart"/>
            <w:r w:rsidRPr="00C54CFA">
              <w:rPr>
                <w:rFonts w:ascii="Times New Roman" w:hAnsi="Times New Roman" w:cs="Times New Roman"/>
              </w:rPr>
              <w:t>Лактат</w:t>
            </w:r>
            <w:proofErr w:type="spellEnd"/>
            <w:r w:rsidRPr="00C54CFA">
              <w:rPr>
                <w:rFonts w:ascii="Times New Roman" w:hAnsi="Times New Roman" w:cs="Times New Roman"/>
              </w:rPr>
              <w:t>: 3,0</w:t>
            </w:r>
            <w:proofErr w:type="gramStart"/>
            <w:r w:rsidRPr="00C54CFA">
              <w:rPr>
                <w:rFonts w:ascii="Times New Roman" w:hAnsi="Times New Roman" w:cs="Times New Roman"/>
              </w:rPr>
              <w:t>И</w:t>
            </w:r>
            <w:proofErr w:type="gramEnd"/>
            <w:r w:rsidRPr="00C54CFA">
              <w:rPr>
                <w:rFonts w:ascii="Times New Roman" w:hAnsi="Times New Roman" w:cs="Times New Roman"/>
              </w:rPr>
              <w:t xml:space="preserve">спользуется для лечения острой почечной недостаточности, медикаментозных отравлений веществами, которые диализируются; в частности, показан пациентам с </w:t>
            </w:r>
            <w:proofErr w:type="spellStart"/>
            <w:r w:rsidRPr="00C54CFA">
              <w:rPr>
                <w:rFonts w:ascii="Times New Roman" w:hAnsi="Times New Roman" w:cs="Times New Roman"/>
              </w:rPr>
              <w:t>гиперкалиемией</w:t>
            </w:r>
            <w:proofErr w:type="spellEnd"/>
            <w:r w:rsidRPr="00C54CFA">
              <w:rPr>
                <w:rFonts w:ascii="Times New Roman" w:hAnsi="Times New Roman" w:cs="Times New Roman"/>
              </w:rPr>
              <w:t xml:space="preserve"> и/или </w:t>
            </w:r>
            <w:proofErr w:type="spellStart"/>
            <w:r w:rsidRPr="00C54CFA">
              <w:rPr>
                <w:rFonts w:ascii="Times New Roman" w:hAnsi="Times New Roman" w:cs="Times New Roman"/>
              </w:rPr>
              <w:t>гиперкальциемией</w:t>
            </w:r>
            <w:proofErr w:type="spellEnd"/>
            <w:r w:rsidRPr="00C54CFA">
              <w:rPr>
                <w:rFonts w:ascii="Times New Roman" w:hAnsi="Times New Roman" w:cs="Times New Roman"/>
              </w:rPr>
              <w:t xml:space="preserve">. Применяют в качестве диализного раствора на основе бикарбонатного буфера в </w:t>
            </w:r>
            <w:r w:rsidRPr="00C54CFA">
              <w:rPr>
                <w:rFonts w:ascii="Times New Roman" w:hAnsi="Times New Roman" w:cs="Times New Roman"/>
              </w:rPr>
              <w:lastRenderedPageBreak/>
              <w:t xml:space="preserve">гемодиализе или </w:t>
            </w:r>
            <w:proofErr w:type="spellStart"/>
            <w:r w:rsidRPr="00C54CFA">
              <w:rPr>
                <w:rFonts w:ascii="Times New Roman" w:hAnsi="Times New Roman" w:cs="Times New Roman"/>
              </w:rPr>
              <w:t>гемодиафильтрации</w:t>
            </w:r>
            <w:proofErr w:type="spellEnd"/>
            <w:r w:rsidRPr="00C54CFA">
              <w:rPr>
                <w:rFonts w:ascii="Times New Roman" w:hAnsi="Times New Roman" w:cs="Times New Roman"/>
              </w:rPr>
              <w:t xml:space="preserve"> (процедуры CVVHD, CVVHDF). Рекомендован к использованию в процедурах ПЗПТ в режиме цитратной </w:t>
            </w:r>
            <w:proofErr w:type="spellStart"/>
            <w:r w:rsidRPr="00C54CFA">
              <w:rPr>
                <w:rFonts w:ascii="Times New Roman" w:hAnsi="Times New Roman" w:cs="Times New Roman"/>
              </w:rPr>
              <w:t>антикоагуляции</w:t>
            </w:r>
            <w:proofErr w:type="spellEnd"/>
            <w:r w:rsidRPr="00C54CFA">
              <w:rPr>
                <w:rFonts w:ascii="Times New Roman" w:hAnsi="Times New Roman" w:cs="Times New Roman"/>
              </w:rPr>
              <w:t xml:space="preserve"> в качестве диализирующего раствора, т.к. не содержит </w:t>
            </w:r>
            <w:proofErr w:type="spellStart"/>
            <w:r w:rsidRPr="00C54CFA">
              <w:rPr>
                <w:rFonts w:ascii="Times New Roman" w:hAnsi="Times New Roman" w:cs="Times New Roman"/>
              </w:rPr>
              <w:t>кальций</w:t>
            </w:r>
            <w:proofErr w:type="gramStart"/>
            <w:r w:rsidRPr="00C54CFA">
              <w:rPr>
                <w:rFonts w:ascii="Times New Roman" w:hAnsi="Times New Roman" w:cs="Times New Roman"/>
              </w:rPr>
              <w:t>.П</w:t>
            </w:r>
            <w:proofErr w:type="gramEnd"/>
            <w:r w:rsidRPr="00C54CFA">
              <w:rPr>
                <w:rFonts w:ascii="Times New Roman" w:hAnsi="Times New Roman" w:cs="Times New Roman"/>
              </w:rPr>
              <w:t>еред</w:t>
            </w:r>
            <w:proofErr w:type="spellEnd"/>
            <w:r w:rsidRPr="00C54CFA">
              <w:rPr>
                <w:rFonts w:ascii="Times New Roman" w:hAnsi="Times New Roman" w:cs="Times New Roman"/>
              </w:rPr>
              <w:t xml:space="preserve"> использованием содержимое 2-х камер смешивают. Готовый раствор должен быть использован в течение 24 часов.</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54CFA" w:rsidRPr="005A0184" w:rsidRDefault="00C54CFA" w:rsidP="00C54CFA">
            <w:pPr>
              <w:spacing w:after="0" w:line="240" w:lineRule="auto"/>
              <w:ind w:left="-110" w:right="-106"/>
              <w:jc w:val="center"/>
              <w:rPr>
                <w:rFonts w:ascii="Times New Roman" w:eastAsia="Times New Roman" w:hAnsi="Times New Roman" w:cs="Times New Roman"/>
                <w:lang w:eastAsia="ru-RU"/>
              </w:rPr>
            </w:pPr>
            <w:r w:rsidRPr="00F24BFA">
              <w:rPr>
                <w:rFonts w:ascii="Times New Roman" w:eastAsia="Times New Roman" w:hAnsi="Times New Roman" w:cs="Times New Roman"/>
                <w:lang w:eastAsia="ru-RU"/>
              </w:rPr>
              <w:lastRenderedPageBreak/>
              <w:t>шт.</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C54CFA" w:rsidRDefault="00C54CFA" w:rsidP="00C54CFA">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r>
      <w:tr w:rsidR="00C54CFA" w:rsidRPr="005107B7" w:rsidTr="00C54CFA">
        <w:trPr>
          <w:trHeight w:val="557"/>
        </w:trPr>
        <w:tc>
          <w:tcPr>
            <w:tcW w:w="286" w:type="pct"/>
            <w:tcBorders>
              <w:top w:val="single" w:sz="4" w:space="0" w:color="auto"/>
              <w:left w:val="single" w:sz="4" w:space="0" w:color="auto"/>
              <w:bottom w:val="single" w:sz="4" w:space="0" w:color="auto"/>
              <w:right w:val="single" w:sz="4" w:space="0" w:color="auto"/>
            </w:tcBorders>
            <w:shd w:val="clear" w:color="auto" w:fill="auto"/>
          </w:tcPr>
          <w:p w:rsidR="00C54CFA" w:rsidRPr="005107B7" w:rsidRDefault="00C54CFA" w:rsidP="00C54CFA">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Устройство </w:t>
            </w:r>
            <w:proofErr w:type="spellStart"/>
            <w:r w:rsidRPr="00C54CFA">
              <w:rPr>
                <w:rFonts w:ascii="Times New Roman" w:hAnsi="Times New Roman" w:cs="Times New Roman"/>
              </w:rPr>
              <w:t>гемодиафильтрации</w:t>
            </w:r>
            <w:proofErr w:type="spellEnd"/>
            <w:r w:rsidRPr="00C54CFA">
              <w:rPr>
                <w:rFonts w:ascii="Times New Roman" w:hAnsi="Times New Roman" w:cs="Times New Roman"/>
              </w:rPr>
              <w:t xml:space="preserve"> PRISMAFLEX ST150 </w:t>
            </w:r>
            <w:proofErr w:type="spellStart"/>
            <w:r w:rsidRPr="00C54CFA">
              <w:rPr>
                <w:rFonts w:ascii="Times New Roman" w:hAnsi="Times New Roman" w:cs="Times New Roman"/>
              </w:rPr>
              <w:t>set</w:t>
            </w:r>
            <w:proofErr w:type="spellEnd"/>
            <w:r w:rsidRPr="00C54CFA">
              <w:rPr>
                <w:rFonts w:ascii="Times New Roman" w:hAnsi="Times New Roman" w:cs="Times New Roman"/>
              </w:rPr>
              <w:t xml:space="preserve"> для аппаратов CRRT </w:t>
            </w:r>
            <w:proofErr w:type="spellStart"/>
            <w:r w:rsidRPr="00C54CFA">
              <w:rPr>
                <w:rFonts w:ascii="Times New Roman" w:hAnsi="Times New Roman" w:cs="Times New Roman"/>
              </w:rPr>
              <w:t>Prismaflex</w:t>
            </w:r>
            <w:proofErr w:type="spellEnd"/>
          </w:p>
          <w:p w:rsidR="00C54CFA" w:rsidRPr="00C54CFA" w:rsidRDefault="00C54CFA" w:rsidP="00C54CFA">
            <w:pPr>
              <w:spacing w:after="0" w:line="240" w:lineRule="auto"/>
              <w:rPr>
                <w:rFonts w:ascii="Times New Roman" w:hAnsi="Times New Roman" w:cs="Times New Roman"/>
              </w:rPr>
            </w:pP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Моноблок, включающий  в себя: </w:t>
            </w:r>
            <w:proofErr w:type="spellStart"/>
            <w:r w:rsidRPr="00C54CFA">
              <w:rPr>
                <w:rFonts w:ascii="Times New Roman" w:hAnsi="Times New Roman" w:cs="Times New Roman"/>
              </w:rPr>
              <w:t>гемофильтр</w:t>
            </w:r>
            <w:proofErr w:type="spellEnd"/>
            <w:r w:rsidRPr="00C54CFA">
              <w:rPr>
                <w:rFonts w:ascii="Times New Roman" w:hAnsi="Times New Roman" w:cs="Times New Roman"/>
              </w:rPr>
              <w:t xml:space="preserve">, магистрали забора и возврата крови, диализирующей, замещающей, цитратной жидкостей и </w:t>
            </w:r>
            <w:proofErr w:type="spellStart"/>
            <w:r w:rsidRPr="00C54CFA">
              <w:rPr>
                <w:rFonts w:ascii="Times New Roman" w:hAnsi="Times New Roman" w:cs="Times New Roman"/>
              </w:rPr>
              <w:t>эффлюента</w:t>
            </w:r>
            <w:proofErr w:type="spellEnd"/>
            <w:r w:rsidRPr="00C54CFA">
              <w:rPr>
                <w:rFonts w:ascii="Times New Roman" w:hAnsi="Times New Roman" w:cs="Times New Roman"/>
              </w:rPr>
              <w:t xml:space="preserve">, магистраль шприца, датчики и сегменты для контроля давления в системе,  камера деаэрации, мешок для сбора </w:t>
            </w:r>
            <w:proofErr w:type="spellStart"/>
            <w:r w:rsidRPr="00C54CFA">
              <w:rPr>
                <w:rFonts w:ascii="Times New Roman" w:hAnsi="Times New Roman" w:cs="Times New Roman"/>
              </w:rPr>
              <w:t>ультрафильтрата</w:t>
            </w:r>
            <w:proofErr w:type="spellEnd"/>
            <w:r w:rsidRPr="00C54CFA">
              <w:rPr>
                <w:rFonts w:ascii="Times New Roman" w:hAnsi="Times New Roman" w:cs="Times New Roman"/>
              </w:rPr>
              <w:t xml:space="preserve"> – наличие;</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Эффективная площадь поверхности мембраны, </w:t>
            </w:r>
            <w:proofErr w:type="gramStart"/>
            <w:r w:rsidRPr="00C54CFA">
              <w:rPr>
                <w:rFonts w:ascii="Times New Roman" w:hAnsi="Times New Roman" w:cs="Times New Roman"/>
              </w:rPr>
              <w:t>м</w:t>
            </w:r>
            <w:proofErr w:type="gramEnd"/>
            <w:r w:rsidRPr="00C54CFA">
              <w:rPr>
                <w:rFonts w:ascii="Times New Roman" w:hAnsi="Times New Roman" w:cs="Times New Roman"/>
              </w:rPr>
              <w:t>² - 1,5;</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Материал мембраны – AN69 (сополимер акрилонитрила и </w:t>
            </w:r>
            <w:proofErr w:type="spellStart"/>
            <w:r w:rsidRPr="00C54CFA">
              <w:rPr>
                <w:rFonts w:ascii="Times New Roman" w:hAnsi="Times New Roman" w:cs="Times New Roman"/>
              </w:rPr>
              <w:t>металилсульфонат</w:t>
            </w:r>
            <w:proofErr w:type="spellEnd"/>
            <w:r w:rsidRPr="00C54CFA">
              <w:rPr>
                <w:rFonts w:ascii="Times New Roman" w:hAnsi="Times New Roman" w:cs="Times New Roman"/>
              </w:rPr>
              <w:t xml:space="preserve"> натрия) + покрытие  поверхности мембраны </w:t>
            </w:r>
            <w:proofErr w:type="spellStart"/>
            <w:r w:rsidRPr="00C54CFA">
              <w:rPr>
                <w:rFonts w:ascii="Times New Roman" w:hAnsi="Times New Roman" w:cs="Times New Roman"/>
              </w:rPr>
              <w:t>полиэтиленимином</w:t>
            </w:r>
            <w:proofErr w:type="spellEnd"/>
            <w:r w:rsidRPr="00C54CFA">
              <w:rPr>
                <w:rFonts w:ascii="Times New Roman" w:hAnsi="Times New Roman" w:cs="Times New Roman"/>
              </w:rPr>
              <w:t>;</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Внутренний диаметр волокна (влажного), </w:t>
            </w:r>
            <w:proofErr w:type="gramStart"/>
            <w:r w:rsidRPr="00C54CFA">
              <w:rPr>
                <w:rFonts w:ascii="Times New Roman" w:hAnsi="Times New Roman" w:cs="Times New Roman"/>
              </w:rPr>
              <w:t>мкм</w:t>
            </w:r>
            <w:proofErr w:type="gramEnd"/>
            <w:r w:rsidRPr="00C54CFA">
              <w:rPr>
                <w:rFonts w:ascii="Times New Roman" w:hAnsi="Times New Roman" w:cs="Times New Roman"/>
              </w:rPr>
              <w:t xml:space="preserve"> – 240;</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Толщина стенки волокна, </w:t>
            </w:r>
            <w:proofErr w:type="gramStart"/>
            <w:r w:rsidRPr="00C54CFA">
              <w:rPr>
                <w:rFonts w:ascii="Times New Roman" w:hAnsi="Times New Roman" w:cs="Times New Roman"/>
              </w:rPr>
              <w:t>мкм</w:t>
            </w:r>
            <w:proofErr w:type="gramEnd"/>
            <w:r w:rsidRPr="00C54CFA">
              <w:rPr>
                <w:rFonts w:ascii="Times New Roman" w:hAnsi="Times New Roman" w:cs="Times New Roman"/>
              </w:rPr>
              <w:t xml:space="preserve"> – 50;</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Режим  разведения – пре/</w:t>
            </w:r>
            <w:proofErr w:type="spellStart"/>
            <w:r w:rsidRPr="00C54CFA">
              <w:rPr>
                <w:rFonts w:ascii="Times New Roman" w:hAnsi="Times New Roman" w:cs="Times New Roman"/>
              </w:rPr>
              <w:t>постразведение</w:t>
            </w:r>
            <w:proofErr w:type="spellEnd"/>
            <w:r w:rsidRPr="00C54CFA">
              <w:rPr>
                <w:rFonts w:ascii="Times New Roman" w:hAnsi="Times New Roman" w:cs="Times New Roman"/>
              </w:rPr>
              <w:t xml:space="preserve"> – наличие;</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Объем заполнения экстракорпорального контура, мл, ±10% - 189;</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Диапазон скоростей потока крови, мл/мин – 100 - 450;</w:t>
            </w:r>
          </w:p>
          <w:p w:rsidR="00C54CFA" w:rsidRPr="00C54CFA" w:rsidRDefault="00C54CFA" w:rsidP="00C54CFA">
            <w:pPr>
              <w:spacing w:after="0" w:line="240" w:lineRule="auto"/>
              <w:rPr>
                <w:rFonts w:ascii="Times New Roman" w:hAnsi="Times New Roman" w:cs="Times New Roman"/>
              </w:rPr>
            </w:pPr>
            <w:proofErr w:type="spellStart"/>
            <w:r w:rsidRPr="00C54CFA">
              <w:rPr>
                <w:rFonts w:ascii="Times New Roman" w:hAnsi="Times New Roman" w:cs="Times New Roman"/>
              </w:rPr>
              <w:t>Клиренсные</w:t>
            </w:r>
            <w:proofErr w:type="spellEnd"/>
            <w:r w:rsidRPr="00C54CFA">
              <w:rPr>
                <w:rFonts w:ascii="Times New Roman" w:hAnsi="Times New Roman" w:cs="Times New Roman"/>
              </w:rPr>
              <w:t xml:space="preserve"> характеристики (ПВВГД, при скорости диализирующего потока 4л/ч, 67 мл/мин, скорость потока крови 200 мл/мин, КУФ=0):</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Мочевина (±10%), мл/мин: 66</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Вит. В12 (±20%), мл/мин: 51</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Инулин (±20%), мл/мин: 40.</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Сет  предназначен для проведения всех видов ПЗПТ: SCUF, CVVH, CVVHD, CVVHDF</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Используется у пациентов с массой тела от 30 кг</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Рекомендовано производить замену сета каждые 24 часа</w:t>
            </w:r>
          </w:p>
          <w:p w:rsidR="00C54CFA" w:rsidRPr="00C54CFA" w:rsidRDefault="00C54CFA" w:rsidP="00C54CFA">
            <w:pPr>
              <w:spacing w:after="0" w:line="240" w:lineRule="auto"/>
              <w:rPr>
                <w:rFonts w:ascii="Times New Roman" w:hAnsi="Times New Roman" w:cs="Times New Roman"/>
              </w:rPr>
            </w:pPr>
            <w:r w:rsidRPr="00C54CFA">
              <w:rPr>
                <w:rFonts w:ascii="Times New Roman" w:hAnsi="Times New Roman" w:cs="Times New Roman"/>
              </w:rPr>
              <w:t xml:space="preserve">Сет должен быть заменен после 3 суток (72 часов) использования </w:t>
            </w:r>
            <w:r w:rsidRPr="00C54CFA">
              <w:rPr>
                <w:rFonts w:ascii="Times New Roman" w:hAnsi="Times New Roman" w:cs="Times New Roman"/>
              </w:rPr>
              <w:lastRenderedPageBreak/>
              <w:t>и/или максимального объёма крови 780 л.</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54CFA" w:rsidRPr="00F24BFA" w:rsidRDefault="00C54CFA" w:rsidP="00C54CFA">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C54CFA" w:rsidRDefault="00C54CFA" w:rsidP="00C54CFA">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C54CFA" w:rsidRPr="005107B7" w:rsidRDefault="00C54CFA" w:rsidP="00C54CFA">
            <w:pPr>
              <w:spacing w:after="0" w:line="240" w:lineRule="auto"/>
              <w:jc w:val="center"/>
              <w:rPr>
                <w:rFonts w:ascii="Times New Roman" w:eastAsia="Times New Roman" w:hAnsi="Times New Roman" w:cs="Times New Roman"/>
                <w:lang w:eastAsia="ru-RU"/>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lastRenderedPageBreak/>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Сведения, необходимые для определения идентичности или однородности товара </w:t>
      </w:r>
      <w:proofErr w:type="gramStart"/>
      <w:r w:rsidRPr="00D70B6B">
        <w:rPr>
          <w:rFonts w:ascii="Times New Roman" w:hAnsi="Times New Roman"/>
          <w:sz w:val="26"/>
          <w:szCs w:val="26"/>
        </w:rPr>
        <w:t>предлагаемых</w:t>
      </w:r>
      <w:proofErr w:type="gramEnd"/>
      <w:r w:rsidRPr="00D70B6B">
        <w:rPr>
          <w:rFonts w:ascii="Times New Roman" w:hAnsi="Times New Roman"/>
          <w:sz w:val="26"/>
          <w:szCs w:val="26"/>
        </w:rPr>
        <w:t xml:space="preserve">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D70B6B">
        <w:rPr>
          <w:rFonts w:ascii="Times New Roman" w:hAnsi="Times New Roman"/>
          <w:sz w:val="26"/>
          <w:szCs w:val="26"/>
        </w:rPr>
        <w:t>указанным</w:t>
      </w:r>
      <w:proofErr w:type="gramEnd"/>
      <w:r w:rsidRPr="00D70B6B">
        <w:rPr>
          <w:rFonts w:ascii="Times New Roman" w:hAnsi="Times New Roman"/>
          <w:sz w:val="26"/>
          <w:szCs w:val="26"/>
        </w:rPr>
        <w:t xml:space="preserve">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77" w:rsidRDefault="007A3A77">
      <w:pPr>
        <w:spacing w:after="0" w:line="240" w:lineRule="auto"/>
      </w:pPr>
      <w:r>
        <w:separator/>
      </w:r>
    </w:p>
  </w:endnote>
  <w:endnote w:type="continuationSeparator" w:id="0">
    <w:p w:rsidR="007A3A77" w:rsidRDefault="007A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77" w:rsidRDefault="007A3A77">
      <w:pPr>
        <w:spacing w:after="0" w:line="240" w:lineRule="auto"/>
      </w:pPr>
      <w:r>
        <w:separator/>
      </w:r>
    </w:p>
  </w:footnote>
  <w:footnote w:type="continuationSeparator" w:id="0">
    <w:p w:rsidR="007A3A77" w:rsidRDefault="007A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A91806" w:rsidRPr="001A62D1" w:rsidRDefault="00A91806"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564869">
          <w:rPr>
            <w:noProof/>
            <w:sz w:val="26"/>
            <w:szCs w:val="26"/>
          </w:rPr>
          <w:t>2</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6" w:rsidRPr="00A91806" w:rsidRDefault="00A91806"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96B"/>
    <w:rsid w:val="00004018"/>
    <w:rsid w:val="0000412C"/>
    <w:rsid w:val="000124A6"/>
    <w:rsid w:val="00026C1F"/>
    <w:rsid w:val="000302A2"/>
    <w:rsid w:val="00031AFA"/>
    <w:rsid w:val="0004504D"/>
    <w:rsid w:val="00073558"/>
    <w:rsid w:val="00076D17"/>
    <w:rsid w:val="00087E95"/>
    <w:rsid w:val="0009727D"/>
    <w:rsid w:val="000A5E67"/>
    <w:rsid w:val="000B086C"/>
    <w:rsid w:val="000B76AB"/>
    <w:rsid w:val="000C04D6"/>
    <w:rsid w:val="000C181F"/>
    <w:rsid w:val="000D60FE"/>
    <w:rsid w:val="000E78CD"/>
    <w:rsid w:val="000F411A"/>
    <w:rsid w:val="000F44D2"/>
    <w:rsid w:val="00104CC6"/>
    <w:rsid w:val="00111C41"/>
    <w:rsid w:val="0011217D"/>
    <w:rsid w:val="001233FC"/>
    <w:rsid w:val="001309D1"/>
    <w:rsid w:val="001450A2"/>
    <w:rsid w:val="00145A39"/>
    <w:rsid w:val="0015409D"/>
    <w:rsid w:val="00154295"/>
    <w:rsid w:val="00154C1D"/>
    <w:rsid w:val="001570CF"/>
    <w:rsid w:val="0016689A"/>
    <w:rsid w:val="00182395"/>
    <w:rsid w:val="0019152C"/>
    <w:rsid w:val="00192794"/>
    <w:rsid w:val="00195CA6"/>
    <w:rsid w:val="001A62D1"/>
    <w:rsid w:val="001C3568"/>
    <w:rsid w:val="001E2F36"/>
    <w:rsid w:val="001F575C"/>
    <w:rsid w:val="00203B06"/>
    <w:rsid w:val="00204D4E"/>
    <w:rsid w:val="0021224E"/>
    <w:rsid w:val="0021229B"/>
    <w:rsid w:val="002163C8"/>
    <w:rsid w:val="00221C8B"/>
    <w:rsid w:val="002329D0"/>
    <w:rsid w:val="002420F4"/>
    <w:rsid w:val="00251D64"/>
    <w:rsid w:val="00255BA3"/>
    <w:rsid w:val="00262242"/>
    <w:rsid w:val="0027336F"/>
    <w:rsid w:val="002824B6"/>
    <w:rsid w:val="002A1986"/>
    <w:rsid w:val="002A657B"/>
    <w:rsid w:val="002B12E3"/>
    <w:rsid w:val="002C2CE3"/>
    <w:rsid w:val="002C473B"/>
    <w:rsid w:val="002E6D4A"/>
    <w:rsid w:val="002F1377"/>
    <w:rsid w:val="002F2BED"/>
    <w:rsid w:val="002F5BC1"/>
    <w:rsid w:val="002F6D7C"/>
    <w:rsid w:val="0031098C"/>
    <w:rsid w:val="00317213"/>
    <w:rsid w:val="00324FCD"/>
    <w:rsid w:val="00341AFA"/>
    <w:rsid w:val="00343ED9"/>
    <w:rsid w:val="00344402"/>
    <w:rsid w:val="00347F84"/>
    <w:rsid w:val="0035401F"/>
    <w:rsid w:val="003625ED"/>
    <w:rsid w:val="00363F61"/>
    <w:rsid w:val="00367146"/>
    <w:rsid w:val="0037099D"/>
    <w:rsid w:val="003747A7"/>
    <w:rsid w:val="00381F8E"/>
    <w:rsid w:val="00391C92"/>
    <w:rsid w:val="0039429B"/>
    <w:rsid w:val="003A2348"/>
    <w:rsid w:val="003A2BFE"/>
    <w:rsid w:val="003B3709"/>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87F24"/>
    <w:rsid w:val="004907EB"/>
    <w:rsid w:val="004A030B"/>
    <w:rsid w:val="004B7816"/>
    <w:rsid w:val="004B7F41"/>
    <w:rsid w:val="004C1F26"/>
    <w:rsid w:val="004C5F4A"/>
    <w:rsid w:val="004D0F2E"/>
    <w:rsid w:val="004D10CD"/>
    <w:rsid w:val="004D7859"/>
    <w:rsid w:val="004E0B85"/>
    <w:rsid w:val="004F06D8"/>
    <w:rsid w:val="005015AB"/>
    <w:rsid w:val="0051016A"/>
    <w:rsid w:val="005107B7"/>
    <w:rsid w:val="00513490"/>
    <w:rsid w:val="005223C1"/>
    <w:rsid w:val="005246FD"/>
    <w:rsid w:val="00541586"/>
    <w:rsid w:val="00552518"/>
    <w:rsid w:val="00560247"/>
    <w:rsid w:val="00564869"/>
    <w:rsid w:val="0057245F"/>
    <w:rsid w:val="00577D46"/>
    <w:rsid w:val="00582162"/>
    <w:rsid w:val="00585F05"/>
    <w:rsid w:val="00592AB6"/>
    <w:rsid w:val="00593990"/>
    <w:rsid w:val="005A0184"/>
    <w:rsid w:val="005A566A"/>
    <w:rsid w:val="005B1AF4"/>
    <w:rsid w:val="005F153F"/>
    <w:rsid w:val="00623487"/>
    <w:rsid w:val="006420B2"/>
    <w:rsid w:val="00642D06"/>
    <w:rsid w:val="006474B5"/>
    <w:rsid w:val="00650AB9"/>
    <w:rsid w:val="006624EC"/>
    <w:rsid w:val="00680267"/>
    <w:rsid w:val="00680B51"/>
    <w:rsid w:val="006910B0"/>
    <w:rsid w:val="00692F2A"/>
    <w:rsid w:val="006974ED"/>
    <w:rsid w:val="006B558D"/>
    <w:rsid w:val="006C4866"/>
    <w:rsid w:val="006C6485"/>
    <w:rsid w:val="006E055D"/>
    <w:rsid w:val="006E3956"/>
    <w:rsid w:val="006E4D75"/>
    <w:rsid w:val="006F556E"/>
    <w:rsid w:val="007100C5"/>
    <w:rsid w:val="0071128E"/>
    <w:rsid w:val="00735AB0"/>
    <w:rsid w:val="0074516E"/>
    <w:rsid w:val="00752AE7"/>
    <w:rsid w:val="0076046A"/>
    <w:rsid w:val="00770DBE"/>
    <w:rsid w:val="00781335"/>
    <w:rsid w:val="007922BC"/>
    <w:rsid w:val="007A3A77"/>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4633D"/>
    <w:rsid w:val="00856270"/>
    <w:rsid w:val="00861E58"/>
    <w:rsid w:val="0086317D"/>
    <w:rsid w:val="008638F3"/>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A303F"/>
    <w:rsid w:val="009D1527"/>
    <w:rsid w:val="009E0E6A"/>
    <w:rsid w:val="009E14D4"/>
    <w:rsid w:val="009E3699"/>
    <w:rsid w:val="009F1E95"/>
    <w:rsid w:val="009F28DD"/>
    <w:rsid w:val="009F387B"/>
    <w:rsid w:val="00A072C2"/>
    <w:rsid w:val="00A20761"/>
    <w:rsid w:val="00A37A47"/>
    <w:rsid w:val="00A406BB"/>
    <w:rsid w:val="00A423B2"/>
    <w:rsid w:val="00A433EB"/>
    <w:rsid w:val="00A475D6"/>
    <w:rsid w:val="00A51E47"/>
    <w:rsid w:val="00A5338E"/>
    <w:rsid w:val="00A56B78"/>
    <w:rsid w:val="00A56D74"/>
    <w:rsid w:val="00A641E2"/>
    <w:rsid w:val="00A64AAA"/>
    <w:rsid w:val="00A76CEF"/>
    <w:rsid w:val="00A82B8F"/>
    <w:rsid w:val="00A8777F"/>
    <w:rsid w:val="00A91698"/>
    <w:rsid w:val="00A91806"/>
    <w:rsid w:val="00A94C5C"/>
    <w:rsid w:val="00AE1B0F"/>
    <w:rsid w:val="00AF03B1"/>
    <w:rsid w:val="00AF7E0D"/>
    <w:rsid w:val="00B02485"/>
    <w:rsid w:val="00B0383F"/>
    <w:rsid w:val="00B24019"/>
    <w:rsid w:val="00B33706"/>
    <w:rsid w:val="00B61169"/>
    <w:rsid w:val="00B664DC"/>
    <w:rsid w:val="00B666D7"/>
    <w:rsid w:val="00B66D35"/>
    <w:rsid w:val="00B67E6D"/>
    <w:rsid w:val="00B706B3"/>
    <w:rsid w:val="00B77DAE"/>
    <w:rsid w:val="00B8743B"/>
    <w:rsid w:val="00B900B9"/>
    <w:rsid w:val="00BA5FF8"/>
    <w:rsid w:val="00BC481E"/>
    <w:rsid w:val="00BE3F70"/>
    <w:rsid w:val="00BE49E7"/>
    <w:rsid w:val="00BF2771"/>
    <w:rsid w:val="00C134B9"/>
    <w:rsid w:val="00C22E6F"/>
    <w:rsid w:val="00C368D3"/>
    <w:rsid w:val="00C505E8"/>
    <w:rsid w:val="00C54CFA"/>
    <w:rsid w:val="00C56C90"/>
    <w:rsid w:val="00C6206C"/>
    <w:rsid w:val="00C645BD"/>
    <w:rsid w:val="00C6545E"/>
    <w:rsid w:val="00C753E1"/>
    <w:rsid w:val="00C9583B"/>
    <w:rsid w:val="00CC4773"/>
    <w:rsid w:val="00CD1DB9"/>
    <w:rsid w:val="00CD1E24"/>
    <w:rsid w:val="00CD3089"/>
    <w:rsid w:val="00CD67FE"/>
    <w:rsid w:val="00CF19F4"/>
    <w:rsid w:val="00D04875"/>
    <w:rsid w:val="00D17764"/>
    <w:rsid w:val="00D3148D"/>
    <w:rsid w:val="00D31887"/>
    <w:rsid w:val="00D3448D"/>
    <w:rsid w:val="00D4075D"/>
    <w:rsid w:val="00D510DB"/>
    <w:rsid w:val="00D70B6B"/>
    <w:rsid w:val="00D75216"/>
    <w:rsid w:val="00D811F2"/>
    <w:rsid w:val="00D93803"/>
    <w:rsid w:val="00D9443F"/>
    <w:rsid w:val="00DB0B61"/>
    <w:rsid w:val="00DB5EE8"/>
    <w:rsid w:val="00DD6DFD"/>
    <w:rsid w:val="00E02BB1"/>
    <w:rsid w:val="00E02EB4"/>
    <w:rsid w:val="00E06D2F"/>
    <w:rsid w:val="00E23D7F"/>
    <w:rsid w:val="00E64958"/>
    <w:rsid w:val="00E70CD9"/>
    <w:rsid w:val="00E76180"/>
    <w:rsid w:val="00E9008B"/>
    <w:rsid w:val="00E961F8"/>
    <w:rsid w:val="00EA038F"/>
    <w:rsid w:val="00ED2F34"/>
    <w:rsid w:val="00EE2E62"/>
    <w:rsid w:val="00EE4AA9"/>
    <w:rsid w:val="00EF093D"/>
    <w:rsid w:val="00F0261E"/>
    <w:rsid w:val="00F24BFA"/>
    <w:rsid w:val="00F24D89"/>
    <w:rsid w:val="00F27547"/>
    <w:rsid w:val="00F2794C"/>
    <w:rsid w:val="00F374E2"/>
    <w:rsid w:val="00F43A9A"/>
    <w:rsid w:val="00F52E6A"/>
    <w:rsid w:val="00F6328E"/>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A881-4E4C-43E9-819A-C7597CD1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10</cp:revision>
  <cp:lastPrinted>2019-08-07T14:31:00Z</cp:lastPrinted>
  <dcterms:created xsi:type="dcterms:W3CDTF">2019-08-07T14:33:00Z</dcterms:created>
  <dcterms:modified xsi:type="dcterms:W3CDTF">2019-08-20T08:18:00Z</dcterms:modified>
</cp:coreProperties>
</file>