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20.06.2022 № 05-07/889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365C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25"/>
        <w:gridCol w:w="887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для отделения лабораторной диагностики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попдисания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календарных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ру</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Срок годности поставляемого Товара должен соответствовать сроку, указанному на упаковочной таре. Остаточный срок годности на момент поставки должен быть не менее 12 (двенадцати) месяцев, а если общий срок годности Товара составляет менее 12 (двенадцати) месяцев,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Look w:val="04A0" w:firstRow="1" w:lastRow="0" w:firstColumn="1" w:lastColumn="0" w:noHBand="0" w:noVBand="1"/>
      </w:tblPr>
      <w:tblGrid>
        <w:gridCol w:w="499"/>
        <w:gridCol w:w="2258"/>
        <w:gridCol w:w="4885"/>
        <w:gridCol w:w="1443"/>
        <w:gridCol w:w="764"/>
        <w:gridCol w:w="766"/>
        <w:gridCol w:w="1690"/>
        <w:gridCol w:w="910"/>
        <w:gridCol w:w="1261"/>
        <w:gridCol w:w="1473"/>
      </w:tblGrid>
      <w:tr w:rsidR="002B1EA5" w:rsidRPr="002B1EA5" w:rsidTr="00CB6256">
        <w:trPr>
          <w:trHeight w:val="1091"/>
          <w:jc w:val="center"/>
        </w:trPr>
        <w:tc>
          <w:tcPr>
            <w:tcW w:w="164" w:type="pct"/>
            <w:tcBorders>
              <w:top w:val="single" w:sz="4" w:space="0" w:color="000000"/>
              <w:left w:val="single" w:sz="4" w:space="0" w:color="auto"/>
              <w:bottom w:val="single" w:sz="4" w:space="0" w:color="auto"/>
              <w:right w:val="single" w:sz="4" w:space="0" w:color="auto"/>
            </w:tcBorders>
            <w:noWrap/>
            <w:vAlign w:val="center"/>
            <w:hideMark/>
          </w:tcPr>
          <w:p w:rsidR="002B1EA5" w:rsidRPr="002B1EA5" w:rsidRDefault="002B1EA5" w:rsidP="002B1EA5">
            <w:pPr>
              <w:spacing w:after="0" w:line="240" w:lineRule="auto"/>
              <w:jc w:val="both"/>
              <w:rPr>
                <w:rFonts w:ascii="Times New Roman" w:eastAsia="Times New Roman" w:hAnsi="Times New Roman" w:cs="Times New Roman"/>
                <w:lang w:eastAsia="ru-RU"/>
              </w:rPr>
            </w:pPr>
            <w:r w:rsidRPr="002B1EA5">
              <w:rPr>
                <w:rFonts w:ascii="Times New Roman" w:eastAsia="Times New Roman" w:hAnsi="Times New Roman" w:cs="Times New Roman"/>
                <w:lang w:eastAsia="ru-RU"/>
              </w:rPr>
              <w:t>№</w:t>
            </w:r>
          </w:p>
        </w:tc>
        <w:tc>
          <w:tcPr>
            <w:tcW w:w="641" w:type="pct"/>
            <w:tcBorders>
              <w:top w:val="single" w:sz="4" w:space="0" w:color="000000"/>
              <w:left w:val="nil"/>
              <w:bottom w:val="single" w:sz="4" w:space="0" w:color="auto"/>
              <w:right w:val="single" w:sz="4" w:space="0" w:color="auto"/>
            </w:tcBorders>
            <w:vAlign w:val="center"/>
            <w:hideMark/>
          </w:tcPr>
          <w:p w:rsidR="002B1EA5" w:rsidRPr="002B1EA5" w:rsidRDefault="002B1EA5" w:rsidP="002B1EA5">
            <w:pPr>
              <w:spacing w:after="0" w:line="240" w:lineRule="auto"/>
              <w:jc w:val="center"/>
              <w:rPr>
                <w:rFonts w:ascii="Times New Roman" w:eastAsia="Times New Roman" w:hAnsi="Times New Roman" w:cs="Times New Roman"/>
                <w:lang w:eastAsia="ru-RU"/>
              </w:rPr>
            </w:pPr>
            <w:r w:rsidRPr="002B1EA5">
              <w:rPr>
                <w:rFonts w:ascii="Times New Roman" w:eastAsia="Times New Roman" w:hAnsi="Times New Roman" w:cs="Times New Roman"/>
                <w:lang w:eastAsia="ru-RU"/>
              </w:rPr>
              <w:t>Наименование Товара</w:t>
            </w:r>
          </w:p>
        </w:tc>
        <w:tc>
          <w:tcPr>
            <w:tcW w:w="1539" w:type="pct"/>
            <w:tcBorders>
              <w:top w:val="single" w:sz="4" w:space="0" w:color="000000"/>
              <w:left w:val="nil"/>
              <w:bottom w:val="single" w:sz="4" w:space="0" w:color="auto"/>
              <w:right w:val="single" w:sz="4" w:space="0" w:color="auto"/>
            </w:tcBorders>
            <w:vAlign w:val="center"/>
            <w:hideMark/>
          </w:tcPr>
          <w:p w:rsidR="002B1EA5" w:rsidRPr="002B1EA5" w:rsidRDefault="002B1EA5" w:rsidP="002B1EA5">
            <w:pPr>
              <w:spacing w:after="0" w:line="240" w:lineRule="auto"/>
              <w:jc w:val="center"/>
              <w:rPr>
                <w:rFonts w:ascii="Times New Roman" w:eastAsia="Times New Roman" w:hAnsi="Times New Roman" w:cs="Times New Roman"/>
                <w:lang w:eastAsia="ru-RU"/>
              </w:rPr>
            </w:pPr>
            <w:r w:rsidRPr="002B1EA5">
              <w:rPr>
                <w:rFonts w:ascii="Times New Roman" w:eastAsia="Times New Roman" w:hAnsi="Times New Roman" w:cs="Times New Roman"/>
                <w:lang w:eastAsia="ru-RU"/>
              </w:rPr>
              <w:t>Технические характеристики</w:t>
            </w:r>
          </w:p>
        </w:tc>
        <w:tc>
          <w:tcPr>
            <w:tcW w:w="460" w:type="pct"/>
            <w:tcBorders>
              <w:top w:val="single" w:sz="4" w:space="0" w:color="auto"/>
              <w:left w:val="nil"/>
              <w:bottom w:val="single" w:sz="4" w:space="0" w:color="auto"/>
              <w:right w:val="single" w:sz="4" w:space="0" w:color="auto"/>
            </w:tcBorders>
            <w:hideMark/>
          </w:tcPr>
          <w:p w:rsidR="002B1EA5" w:rsidRPr="002B1EA5" w:rsidRDefault="002B1EA5" w:rsidP="002B1EA5">
            <w:pPr>
              <w:spacing w:after="0" w:line="240" w:lineRule="auto"/>
              <w:jc w:val="center"/>
              <w:rPr>
                <w:rFonts w:ascii="Times New Roman" w:eastAsia="Times New Roman" w:hAnsi="Times New Roman" w:cs="Times New Roman"/>
                <w:lang w:eastAsia="ru-RU"/>
              </w:rPr>
            </w:pPr>
            <w:r w:rsidRPr="002B1EA5">
              <w:rPr>
                <w:rFonts w:ascii="Times New Roman" w:eastAsia="Times New Roman" w:hAnsi="Times New Roman" w:cs="Times New Roman"/>
                <w:lang w:eastAsia="ru-RU"/>
              </w:rPr>
              <w:t>Код ОКПД2</w:t>
            </w:r>
            <w:r w:rsidRPr="002B1EA5">
              <w:rPr>
                <w:rFonts w:ascii="Times New Roman" w:eastAsia="Times New Roman" w:hAnsi="Times New Roman" w:cs="Times New Roman"/>
                <w:lang w:val="en-US" w:eastAsia="ru-RU"/>
              </w:rPr>
              <w:t>/</w:t>
            </w:r>
          </w:p>
          <w:p w:rsidR="002B1EA5" w:rsidRPr="002B1EA5" w:rsidRDefault="002B1EA5" w:rsidP="002B1EA5">
            <w:pPr>
              <w:spacing w:after="0" w:line="240" w:lineRule="auto"/>
              <w:jc w:val="center"/>
              <w:rPr>
                <w:rFonts w:ascii="Times New Roman" w:eastAsia="Times New Roman" w:hAnsi="Times New Roman" w:cs="Times New Roman"/>
                <w:lang w:eastAsia="ru-RU"/>
              </w:rPr>
            </w:pPr>
            <w:r w:rsidRPr="002B1EA5">
              <w:rPr>
                <w:rFonts w:ascii="Times New Roman" w:eastAsia="Times New Roman" w:hAnsi="Times New Roman" w:cs="Times New Roman"/>
                <w:lang w:eastAsia="ru-RU"/>
              </w:rPr>
              <w:t>КТРУ</w:t>
            </w:r>
          </w:p>
        </w:tc>
        <w:tc>
          <w:tcPr>
            <w:tcW w:w="243" w:type="pct"/>
            <w:tcBorders>
              <w:top w:val="single" w:sz="4" w:space="0" w:color="000000"/>
              <w:left w:val="nil"/>
              <w:bottom w:val="single" w:sz="4" w:space="0" w:color="auto"/>
              <w:right w:val="single" w:sz="4" w:space="0" w:color="auto"/>
            </w:tcBorders>
            <w:vAlign w:val="center"/>
            <w:hideMark/>
          </w:tcPr>
          <w:p w:rsidR="002B1EA5" w:rsidRPr="002B1EA5" w:rsidRDefault="002B1EA5" w:rsidP="002B1EA5">
            <w:pPr>
              <w:spacing w:after="0" w:line="240" w:lineRule="auto"/>
              <w:jc w:val="center"/>
              <w:rPr>
                <w:rFonts w:ascii="Times New Roman" w:eastAsia="Times New Roman" w:hAnsi="Times New Roman" w:cs="Times New Roman"/>
                <w:lang w:eastAsia="ru-RU"/>
              </w:rPr>
            </w:pPr>
            <w:r w:rsidRPr="002B1EA5">
              <w:rPr>
                <w:rFonts w:ascii="Times New Roman" w:eastAsia="Times New Roman" w:hAnsi="Times New Roman" w:cs="Times New Roman"/>
                <w:lang w:eastAsia="ru-RU"/>
              </w:rPr>
              <w:t>Ед. изм.</w:t>
            </w:r>
          </w:p>
        </w:tc>
        <w:tc>
          <w:tcPr>
            <w:tcW w:w="251" w:type="pct"/>
            <w:tcBorders>
              <w:top w:val="single" w:sz="4" w:space="0" w:color="000000"/>
              <w:left w:val="nil"/>
              <w:bottom w:val="single" w:sz="4" w:space="0" w:color="auto"/>
              <w:right w:val="single" w:sz="4" w:space="0" w:color="auto"/>
            </w:tcBorders>
            <w:vAlign w:val="center"/>
            <w:hideMark/>
          </w:tcPr>
          <w:p w:rsidR="002B1EA5" w:rsidRPr="002B1EA5" w:rsidRDefault="002B1EA5" w:rsidP="002B1EA5">
            <w:pPr>
              <w:spacing w:after="0" w:line="240" w:lineRule="auto"/>
              <w:jc w:val="center"/>
              <w:rPr>
                <w:rFonts w:ascii="Times New Roman" w:eastAsia="Times New Roman" w:hAnsi="Times New Roman" w:cs="Times New Roman"/>
                <w:lang w:eastAsia="ru-RU"/>
              </w:rPr>
            </w:pPr>
            <w:r w:rsidRPr="002B1EA5">
              <w:rPr>
                <w:rFonts w:ascii="Times New Roman" w:eastAsia="Times New Roman" w:hAnsi="Times New Roman" w:cs="Times New Roman"/>
                <w:lang w:eastAsia="ru-RU"/>
              </w:rPr>
              <w:t>Кол-во</w:t>
            </w:r>
          </w:p>
        </w:tc>
        <w:tc>
          <w:tcPr>
            <w:tcW w:w="537" w:type="pct"/>
            <w:tcBorders>
              <w:top w:val="single" w:sz="4" w:space="0" w:color="000000"/>
              <w:left w:val="nil"/>
              <w:bottom w:val="single" w:sz="4" w:space="0" w:color="auto"/>
              <w:right w:val="single" w:sz="4" w:space="0" w:color="auto"/>
            </w:tcBorders>
            <w:shd w:val="clear" w:color="auto" w:fill="FFFF00"/>
            <w:vAlign w:val="center"/>
            <w:hideMark/>
          </w:tcPr>
          <w:p w:rsidR="002B1EA5" w:rsidRPr="002B1EA5" w:rsidRDefault="002B1EA5" w:rsidP="002B1EA5">
            <w:pPr>
              <w:spacing w:after="0" w:line="240" w:lineRule="auto"/>
              <w:jc w:val="center"/>
              <w:rPr>
                <w:rFonts w:ascii="Times New Roman" w:eastAsia="Times New Roman" w:hAnsi="Times New Roman" w:cs="Times New Roman"/>
                <w:lang w:eastAsia="ru-RU"/>
              </w:rPr>
            </w:pPr>
            <w:r w:rsidRPr="002B1EA5">
              <w:rPr>
                <w:rFonts w:ascii="Times New Roman" w:eastAsia="Times New Roman" w:hAnsi="Times New Roman" w:cs="Times New Roman"/>
                <w:lang w:eastAsia="ru-RU"/>
              </w:rPr>
              <w:t>Страна происхождения</w:t>
            </w:r>
          </w:p>
        </w:tc>
        <w:tc>
          <w:tcPr>
            <w:tcW w:w="289" w:type="pct"/>
            <w:tcBorders>
              <w:top w:val="single" w:sz="4" w:space="0" w:color="auto"/>
              <w:left w:val="nil"/>
              <w:bottom w:val="single" w:sz="4" w:space="0" w:color="auto"/>
              <w:right w:val="single" w:sz="4" w:space="0" w:color="auto"/>
            </w:tcBorders>
            <w:shd w:val="clear" w:color="000000" w:fill="FFFF00"/>
            <w:noWrap/>
            <w:vAlign w:val="center"/>
            <w:hideMark/>
          </w:tcPr>
          <w:p w:rsidR="002B1EA5" w:rsidRPr="002B1EA5" w:rsidRDefault="002B1EA5" w:rsidP="002B1EA5">
            <w:pPr>
              <w:spacing w:after="0" w:line="240" w:lineRule="auto"/>
              <w:jc w:val="both"/>
              <w:rPr>
                <w:rFonts w:ascii="Times New Roman" w:eastAsia="Times New Roman" w:hAnsi="Times New Roman" w:cs="Times New Roman"/>
                <w:lang w:eastAsia="ru-RU"/>
              </w:rPr>
            </w:pPr>
            <w:r w:rsidRPr="002B1EA5">
              <w:rPr>
                <w:rFonts w:ascii="Times New Roman" w:eastAsia="Times New Roman" w:hAnsi="Times New Roman" w:cs="Times New Roman"/>
                <w:lang w:eastAsia="ru-RU"/>
              </w:rPr>
              <w:t>НДС %</w:t>
            </w:r>
          </w:p>
        </w:tc>
        <w:tc>
          <w:tcPr>
            <w:tcW w:w="401" w:type="pct"/>
            <w:tcBorders>
              <w:top w:val="single" w:sz="4" w:space="0" w:color="auto"/>
              <w:left w:val="nil"/>
              <w:bottom w:val="single" w:sz="4" w:space="0" w:color="auto"/>
              <w:right w:val="single" w:sz="4" w:space="0" w:color="auto"/>
            </w:tcBorders>
            <w:shd w:val="clear" w:color="000000" w:fill="FFFF00"/>
            <w:noWrap/>
            <w:vAlign w:val="center"/>
            <w:hideMark/>
          </w:tcPr>
          <w:p w:rsidR="002B1EA5" w:rsidRPr="002B1EA5" w:rsidRDefault="002B1EA5" w:rsidP="002B1EA5">
            <w:pPr>
              <w:spacing w:after="0" w:line="240" w:lineRule="auto"/>
              <w:jc w:val="both"/>
              <w:rPr>
                <w:rFonts w:ascii="Times New Roman" w:eastAsia="Times New Roman" w:hAnsi="Times New Roman" w:cs="Times New Roman"/>
                <w:lang w:eastAsia="ru-RU"/>
              </w:rPr>
            </w:pPr>
            <w:r w:rsidRPr="002B1EA5">
              <w:rPr>
                <w:rFonts w:ascii="Times New Roman" w:eastAsia="Times New Roman" w:hAnsi="Times New Roman" w:cs="Times New Roman"/>
                <w:lang w:eastAsia="ru-RU"/>
              </w:rPr>
              <w:t xml:space="preserve">Цена за ед. </w:t>
            </w:r>
          </w:p>
          <w:p w:rsidR="002B1EA5" w:rsidRPr="002B1EA5" w:rsidRDefault="002B1EA5" w:rsidP="002B1EA5">
            <w:pPr>
              <w:spacing w:after="0" w:line="240" w:lineRule="auto"/>
              <w:jc w:val="both"/>
              <w:rPr>
                <w:rFonts w:ascii="Times New Roman" w:eastAsia="Times New Roman" w:hAnsi="Times New Roman" w:cs="Times New Roman"/>
                <w:lang w:eastAsia="ru-RU"/>
              </w:rPr>
            </w:pPr>
            <w:r w:rsidRPr="002B1EA5">
              <w:rPr>
                <w:rFonts w:ascii="Times New Roman" w:eastAsia="Times New Roman" w:hAnsi="Times New Roman" w:cs="Times New Roman"/>
                <w:lang w:eastAsia="ru-RU"/>
              </w:rPr>
              <w:t xml:space="preserve">Товара с </w:t>
            </w:r>
          </w:p>
          <w:p w:rsidR="002B1EA5" w:rsidRPr="002B1EA5" w:rsidRDefault="002B1EA5" w:rsidP="002B1EA5">
            <w:pPr>
              <w:spacing w:after="0" w:line="240" w:lineRule="auto"/>
              <w:jc w:val="both"/>
              <w:rPr>
                <w:rFonts w:ascii="Times New Roman" w:eastAsia="Times New Roman" w:hAnsi="Times New Roman" w:cs="Times New Roman"/>
                <w:lang w:eastAsia="ru-RU"/>
              </w:rPr>
            </w:pPr>
            <w:r w:rsidRPr="002B1EA5">
              <w:rPr>
                <w:rFonts w:ascii="Times New Roman" w:eastAsia="Times New Roman" w:hAnsi="Times New Roman" w:cs="Times New Roman"/>
                <w:lang w:eastAsia="ru-RU"/>
              </w:rPr>
              <w:t>НДС (руб.)</w:t>
            </w:r>
          </w:p>
        </w:tc>
        <w:tc>
          <w:tcPr>
            <w:tcW w:w="474" w:type="pct"/>
            <w:tcBorders>
              <w:top w:val="single" w:sz="4" w:space="0" w:color="auto"/>
              <w:left w:val="nil"/>
              <w:bottom w:val="single" w:sz="4" w:space="0" w:color="auto"/>
              <w:right w:val="single" w:sz="4" w:space="0" w:color="auto"/>
            </w:tcBorders>
            <w:shd w:val="clear" w:color="000000" w:fill="FFFF00"/>
            <w:noWrap/>
            <w:vAlign w:val="center"/>
            <w:hideMark/>
          </w:tcPr>
          <w:p w:rsidR="002B1EA5" w:rsidRPr="002B1EA5" w:rsidRDefault="002B1EA5" w:rsidP="002B1EA5">
            <w:pPr>
              <w:widowControl w:val="0"/>
              <w:autoSpaceDE w:val="0"/>
              <w:autoSpaceDN w:val="0"/>
              <w:adjustRightInd w:val="0"/>
              <w:spacing w:after="0" w:line="240" w:lineRule="auto"/>
              <w:jc w:val="center"/>
              <w:rPr>
                <w:rFonts w:ascii="Times New Roman" w:eastAsia="Times New Roman" w:hAnsi="Times New Roman" w:cs="Times New Roman"/>
              </w:rPr>
            </w:pPr>
            <w:r w:rsidRPr="002B1EA5">
              <w:rPr>
                <w:rFonts w:ascii="Times New Roman" w:eastAsia="Times New Roman" w:hAnsi="Times New Roman" w:cs="Times New Roman"/>
                <w:lang w:eastAsia="ru-RU"/>
              </w:rPr>
              <w:t> </w:t>
            </w:r>
            <w:r w:rsidRPr="002B1EA5">
              <w:rPr>
                <w:rFonts w:ascii="Times New Roman" w:eastAsia="Times New Roman" w:hAnsi="Times New Roman" w:cs="Times New Roman"/>
              </w:rPr>
              <w:t xml:space="preserve">Сумма с </w:t>
            </w:r>
          </w:p>
          <w:p w:rsidR="002B1EA5" w:rsidRPr="002B1EA5" w:rsidRDefault="002B1EA5" w:rsidP="002B1EA5">
            <w:pPr>
              <w:spacing w:after="0" w:line="240" w:lineRule="auto"/>
              <w:jc w:val="both"/>
              <w:rPr>
                <w:rFonts w:ascii="Times New Roman" w:eastAsia="Times New Roman" w:hAnsi="Times New Roman" w:cs="Times New Roman"/>
                <w:lang w:eastAsia="ru-RU"/>
              </w:rPr>
            </w:pPr>
            <w:r w:rsidRPr="002B1EA5">
              <w:rPr>
                <w:rFonts w:ascii="Times New Roman" w:eastAsia="Times New Roman" w:hAnsi="Times New Roman" w:cs="Times New Roman"/>
              </w:rPr>
              <w:t>НДС (руб.)</w:t>
            </w:r>
          </w:p>
        </w:tc>
      </w:tr>
      <w:tr w:rsidR="002B1EA5" w:rsidRPr="002B1EA5" w:rsidTr="00CB6256">
        <w:trPr>
          <w:trHeight w:val="20"/>
          <w:jc w:val="center"/>
        </w:trPr>
        <w:tc>
          <w:tcPr>
            <w:tcW w:w="164" w:type="pct"/>
            <w:tcBorders>
              <w:top w:val="single" w:sz="4" w:space="0" w:color="auto"/>
              <w:left w:val="single" w:sz="4" w:space="0" w:color="auto"/>
              <w:bottom w:val="single" w:sz="4" w:space="0" w:color="auto"/>
              <w:right w:val="single" w:sz="4" w:space="0" w:color="auto"/>
            </w:tcBorders>
            <w:noWrap/>
          </w:tcPr>
          <w:p w:rsidR="002B1EA5" w:rsidRPr="002B1EA5" w:rsidRDefault="002B1EA5" w:rsidP="002B1EA5">
            <w:pPr>
              <w:spacing w:after="0" w:line="240" w:lineRule="auto"/>
              <w:jc w:val="center"/>
              <w:rPr>
                <w:rFonts w:ascii="Times New Roman" w:eastAsia="Times New Roman" w:hAnsi="Times New Roman" w:cs="Times New Roman"/>
                <w:b/>
                <w:bCs/>
                <w:color w:val="000000"/>
              </w:rPr>
            </w:pPr>
            <w:r w:rsidRPr="002B1EA5">
              <w:rPr>
                <w:rFonts w:ascii="Times New Roman" w:eastAsia="Times New Roman" w:hAnsi="Times New Roman" w:cs="Times New Roman"/>
                <w:b/>
                <w:bCs/>
                <w:color w:val="000000"/>
              </w:rPr>
              <w:t>1</w:t>
            </w:r>
          </w:p>
        </w:tc>
        <w:tc>
          <w:tcPr>
            <w:tcW w:w="641" w:type="pct"/>
            <w:tcBorders>
              <w:top w:val="nil"/>
              <w:left w:val="single" w:sz="4" w:space="0" w:color="auto"/>
              <w:bottom w:val="single" w:sz="4" w:space="0" w:color="auto"/>
              <w:right w:val="single" w:sz="4" w:space="0" w:color="auto"/>
            </w:tcBorders>
            <w:vAlign w:val="center"/>
          </w:tcPr>
          <w:p w:rsidR="002B1EA5" w:rsidRPr="002B1EA5" w:rsidRDefault="002B1EA5" w:rsidP="002B1EA5">
            <w:pPr>
              <w:spacing w:after="0" w:line="240" w:lineRule="auto"/>
              <w:jc w:val="both"/>
              <w:rPr>
                <w:rFonts w:ascii="Times New Roman" w:eastAsia="Times New Roman" w:hAnsi="Times New Roman" w:cs="Times New Roman"/>
                <w:sz w:val="20"/>
                <w:szCs w:val="20"/>
                <w:lang w:eastAsia="ru-RU"/>
              </w:rPr>
            </w:pPr>
            <w:r w:rsidRPr="002B1EA5">
              <w:rPr>
                <w:rFonts w:ascii="Times New Roman" w:eastAsia="Times New Roman" w:hAnsi="Times New Roman" w:cs="Times New Roman"/>
                <w:sz w:val="20"/>
                <w:szCs w:val="20"/>
                <w:lang w:eastAsia="ru-RU"/>
              </w:rPr>
              <w:t xml:space="preserve">Высокочувствительный тропонин-I реагент ARCHITECT STAT </w:t>
            </w:r>
          </w:p>
        </w:tc>
        <w:tc>
          <w:tcPr>
            <w:tcW w:w="1539" w:type="pct"/>
            <w:tcBorders>
              <w:top w:val="nil"/>
              <w:left w:val="nil"/>
              <w:bottom w:val="single" w:sz="4" w:space="0" w:color="auto"/>
              <w:right w:val="single" w:sz="4" w:space="0" w:color="auto"/>
            </w:tcBorders>
            <w:vAlign w:val="center"/>
          </w:tcPr>
          <w:p w:rsidR="002B1EA5" w:rsidRPr="002B1EA5" w:rsidRDefault="002B1EA5" w:rsidP="002B1EA5">
            <w:pPr>
              <w:spacing w:after="0" w:line="240" w:lineRule="auto"/>
              <w:jc w:val="both"/>
              <w:rPr>
                <w:rFonts w:ascii="Times New Roman" w:eastAsia="Times New Roman" w:hAnsi="Times New Roman" w:cs="Times New Roman"/>
                <w:sz w:val="20"/>
                <w:szCs w:val="20"/>
                <w:lang w:eastAsia="ru-RU"/>
              </w:rPr>
            </w:pPr>
            <w:r w:rsidRPr="002B1EA5">
              <w:rPr>
                <w:rFonts w:ascii="Times New Roman" w:eastAsia="Times New Roman" w:hAnsi="Times New Roman" w:cs="Times New Roman"/>
                <w:sz w:val="20"/>
                <w:szCs w:val="20"/>
                <w:lang w:eastAsia="ru-RU"/>
              </w:rPr>
              <w:t>Количество выполняемых тестов: 100 тестов Назначение: Для анализаторов серии ARHITECT. Набор реагентов и других связанных с ними материалов, предназначенный для качественного и количественного определения тропонина I (troponin I) в клиническом образце методом иммунохемилюминесцентного анализа. Совместим с иммунохимическим автоматическим анализатором ARCHITECT i1000, имеющимся у Заказчика, не вызывает сбоев в работе анализатора, не снижает достоверность результатов исследований</w:t>
            </w:r>
          </w:p>
        </w:tc>
        <w:tc>
          <w:tcPr>
            <w:tcW w:w="460" w:type="pct"/>
            <w:tcBorders>
              <w:top w:val="nil"/>
              <w:left w:val="single" w:sz="4" w:space="0" w:color="auto"/>
              <w:bottom w:val="single" w:sz="4" w:space="0" w:color="auto"/>
              <w:right w:val="single" w:sz="4" w:space="0" w:color="auto"/>
            </w:tcBorders>
          </w:tcPr>
          <w:p w:rsidR="002B1EA5" w:rsidRPr="002B1EA5" w:rsidRDefault="002B1EA5" w:rsidP="002B1EA5">
            <w:pPr>
              <w:rPr>
                <w:rFonts w:ascii="Times New Roman" w:eastAsia="Times New Roman" w:hAnsi="Times New Roman" w:cs="Times New Roman"/>
                <w:color w:val="000000" w:themeColor="text1"/>
              </w:rPr>
            </w:pPr>
            <w:r w:rsidRPr="002B1EA5">
              <w:rPr>
                <w:rFonts w:ascii="Times New Roman" w:eastAsia="Times New Roman" w:hAnsi="Times New Roman" w:cs="Times New Roman"/>
                <w:color w:val="334059"/>
                <w:shd w:val="clear" w:color="auto" w:fill="FFFFFF"/>
              </w:rPr>
              <w:t>21.20.23.110</w:t>
            </w:r>
          </w:p>
        </w:tc>
        <w:tc>
          <w:tcPr>
            <w:tcW w:w="243" w:type="pct"/>
            <w:tcBorders>
              <w:top w:val="nil"/>
              <w:left w:val="single" w:sz="4" w:space="0" w:color="auto"/>
              <w:bottom w:val="single" w:sz="4" w:space="0" w:color="auto"/>
              <w:right w:val="single" w:sz="4" w:space="0" w:color="auto"/>
            </w:tcBorders>
            <w:noWrap/>
          </w:tcPr>
          <w:p w:rsidR="002B1EA5" w:rsidRPr="002B1EA5" w:rsidRDefault="002B1EA5" w:rsidP="002B1EA5">
            <w:pPr>
              <w:jc w:val="center"/>
              <w:rPr>
                <w:rFonts w:ascii="Times New Roman" w:eastAsia="Times New Roman" w:hAnsi="Times New Roman" w:cs="Times New Roman"/>
                <w:color w:val="000000" w:themeColor="text1"/>
              </w:rPr>
            </w:pPr>
            <w:r w:rsidRPr="002B1EA5">
              <w:rPr>
                <w:rFonts w:ascii="Times New Roman" w:eastAsia="Times New Roman" w:hAnsi="Times New Roman" w:cs="Times New Roman"/>
                <w:color w:val="000000" w:themeColor="text1"/>
              </w:rPr>
              <w:t>набор</w:t>
            </w:r>
          </w:p>
        </w:tc>
        <w:tc>
          <w:tcPr>
            <w:tcW w:w="251" w:type="pct"/>
            <w:tcBorders>
              <w:top w:val="nil"/>
              <w:left w:val="nil"/>
              <w:bottom w:val="single" w:sz="4" w:space="0" w:color="auto"/>
              <w:right w:val="single" w:sz="4" w:space="0" w:color="auto"/>
            </w:tcBorders>
            <w:noWrap/>
          </w:tcPr>
          <w:p w:rsidR="002B1EA5" w:rsidRPr="002B1EA5" w:rsidRDefault="002B1EA5" w:rsidP="002B1EA5">
            <w:pPr>
              <w:jc w:val="center"/>
              <w:rPr>
                <w:rFonts w:ascii="Times New Roman" w:eastAsia="Times New Roman" w:hAnsi="Times New Roman" w:cs="Times New Roman"/>
                <w:color w:val="000000" w:themeColor="text1"/>
              </w:rPr>
            </w:pPr>
            <w:r w:rsidRPr="002B1EA5">
              <w:rPr>
                <w:rFonts w:ascii="Times New Roman" w:eastAsia="Times New Roman" w:hAnsi="Times New Roman" w:cs="Times New Roman"/>
                <w:color w:val="000000" w:themeColor="text1"/>
              </w:rPr>
              <w:t>3</w:t>
            </w:r>
          </w:p>
        </w:tc>
        <w:tc>
          <w:tcPr>
            <w:tcW w:w="537"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2B1EA5" w:rsidRPr="002B1EA5" w:rsidRDefault="002B1EA5" w:rsidP="002B1EA5">
            <w:pPr>
              <w:spacing w:after="0" w:line="240" w:lineRule="auto"/>
              <w:jc w:val="center"/>
              <w:rPr>
                <w:rFonts w:ascii="Times New Roman" w:eastAsia="Times New Roman" w:hAnsi="Times New Roman" w:cs="Times New Roman"/>
                <w:color w:val="000000"/>
              </w:rPr>
            </w:pPr>
          </w:p>
        </w:tc>
        <w:tc>
          <w:tcPr>
            <w:tcW w:w="289" w:type="pct"/>
            <w:tcBorders>
              <w:top w:val="nil"/>
              <w:left w:val="single" w:sz="4" w:space="0" w:color="auto"/>
              <w:bottom w:val="single" w:sz="4" w:space="0" w:color="auto"/>
              <w:right w:val="single" w:sz="4" w:space="0" w:color="auto"/>
            </w:tcBorders>
            <w:shd w:val="clear" w:color="auto" w:fill="FFFF00"/>
            <w:noWrap/>
            <w:vAlign w:val="center"/>
          </w:tcPr>
          <w:p w:rsidR="002B1EA5" w:rsidRPr="002B1EA5" w:rsidRDefault="002B1EA5" w:rsidP="002B1EA5">
            <w:pPr>
              <w:spacing w:after="0" w:line="240" w:lineRule="auto"/>
              <w:jc w:val="both"/>
              <w:rPr>
                <w:rFonts w:ascii="Times New Roman" w:eastAsia="Times New Roman" w:hAnsi="Times New Roman" w:cs="Times New Roman"/>
                <w:lang w:eastAsia="ru-RU"/>
              </w:rPr>
            </w:pPr>
          </w:p>
        </w:tc>
        <w:tc>
          <w:tcPr>
            <w:tcW w:w="401" w:type="pct"/>
            <w:tcBorders>
              <w:top w:val="nil"/>
              <w:left w:val="nil"/>
              <w:bottom w:val="single" w:sz="4" w:space="0" w:color="auto"/>
              <w:right w:val="single" w:sz="4" w:space="0" w:color="auto"/>
            </w:tcBorders>
            <w:shd w:val="clear" w:color="auto" w:fill="FFFF00"/>
            <w:noWrap/>
            <w:vAlign w:val="center"/>
          </w:tcPr>
          <w:p w:rsidR="002B1EA5" w:rsidRPr="002B1EA5" w:rsidRDefault="002B1EA5" w:rsidP="002B1EA5">
            <w:pPr>
              <w:spacing w:after="0" w:line="240" w:lineRule="auto"/>
              <w:jc w:val="both"/>
              <w:rPr>
                <w:rFonts w:ascii="Times New Roman" w:eastAsia="Times New Roman" w:hAnsi="Times New Roman" w:cs="Times New Roman"/>
                <w:lang w:eastAsia="ru-RU"/>
              </w:rPr>
            </w:pPr>
          </w:p>
        </w:tc>
        <w:tc>
          <w:tcPr>
            <w:tcW w:w="474" w:type="pct"/>
            <w:tcBorders>
              <w:top w:val="nil"/>
              <w:left w:val="nil"/>
              <w:bottom w:val="single" w:sz="4" w:space="0" w:color="auto"/>
              <w:right w:val="single" w:sz="4" w:space="0" w:color="auto"/>
            </w:tcBorders>
            <w:shd w:val="clear" w:color="auto" w:fill="FFFF00"/>
            <w:noWrap/>
            <w:vAlign w:val="center"/>
          </w:tcPr>
          <w:p w:rsidR="002B1EA5" w:rsidRPr="002B1EA5" w:rsidRDefault="002B1EA5" w:rsidP="002B1EA5">
            <w:pPr>
              <w:spacing w:after="0" w:line="240" w:lineRule="auto"/>
              <w:jc w:val="both"/>
              <w:rPr>
                <w:rFonts w:ascii="Times New Roman" w:eastAsia="Times New Roman" w:hAnsi="Times New Roman" w:cs="Times New Roman"/>
                <w:lang w:eastAsia="ru-RU"/>
              </w:rPr>
            </w:pPr>
          </w:p>
        </w:tc>
      </w:tr>
    </w:tbl>
    <w:p w:rsidR="00170252" w:rsidRDefault="00170252" w:rsidP="000820E3">
      <w:pPr>
        <w:rPr>
          <w:rFonts w:ascii="Times New Roman" w:hAnsi="Times New Roman" w:cs="Times New Roman"/>
          <w:b/>
          <w:sz w:val="28"/>
          <w:szCs w:val="28"/>
        </w:rPr>
      </w:pPr>
    </w:p>
    <w:sectPr w:rsidR="00170252" w:rsidSect="002B1EA5">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D34" w:rsidRDefault="000C0D34">
      <w:pPr>
        <w:spacing w:after="0" w:line="240" w:lineRule="auto"/>
      </w:pPr>
      <w:r>
        <w:separator/>
      </w:r>
    </w:p>
  </w:endnote>
  <w:endnote w:type="continuationSeparator" w:id="0">
    <w:p w:rsidR="000C0D34" w:rsidRDefault="000C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365CD" w:rsidRDefault="008365CD">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365C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365C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365C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365C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365C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B1EA5">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D34" w:rsidRDefault="000C0D34">
      <w:pPr>
        <w:spacing w:after="0" w:line="240" w:lineRule="auto"/>
      </w:pPr>
      <w:r>
        <w:separator/>
      </w:r>
    </w:p>
  </w:footnote>
  <w:footnote w:type="continuationSeparator" w:id="0">
    <w:p w:rsidR="000C0D34" w:rsidRDefault="000C0D3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365CD" w:rsidRDefault="008365CD">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365CD" w:rsidRDefault="008365CD">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365CD" w:rsidRDefault="008365CD">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0D34"/>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B1EA5"/>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365CD"/>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FC3B-7193-40E2-97F6-7AFC3F04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2022-06-20T11:58:00Z</dcterms:created>
  <dcterms:modified xsi:type="dcterms:W3CDTF">2022-06-20T11:58:00Z</dcterms:modified>
</cp:coreProperties>
</file>