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16.10.2026 № 21.1-03/2182</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9D3033">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10.12.2026. Максимальное количество партий - 3 (три).</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 преимущество инвалидам</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00" w:type="pct"/>
        <w:tblLook w:val="04A0" w:firstRow="1" w:lastRow="0" w:firstColumn="1" w:lastColumn="0" w:noHBand="0" w:noVBand="1"/>
      </w:tblPr>
      <w:tblGrid>
        <w:gridCol w:w="1667"/>
        <w:gridCol w:w="971"/>
        <w:gridCol w:w="1126"/>
        <w:gridCol w:w="1126"/>
        <w:gridCol w:w="1126"/>
        <w:gridCol w:w="1126"/>
        <w:gridCol w:w="1206"/>
        <w:gridCol w:w="822"/>
        <w:gridCol w:w="893"/>
        <w:gridCol w:w="2173"/>
        <w:gridCol w:w="1043"/>
        <w:gridCol w:w="1483"/>
        <w:gridCol w:w="1187"/>
      </w:tblGrid>
      <w:tr w:rsidR="00AB6B84" w:rsidRPr="00AB6B84" w:rsidTr="00AB6B84">
        <w:trPr>
          <w:trHeight w:val="402"/>
        </w:trPr>
        <w:tc>
          <w:tcPr>
            <w:tcW w:w="52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Наименование товара, работы, услуги</w:t>
            </w:r>
          </w:p>
        </w:tc>
        <w:tc>
          <w:tcPr>
            <w:tcW w:w="30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Код позиции</w:t>
            </w:r>
          </w:p>
        </w:tc>
        <w:tc>
          <w:tcPr>
            <w:tcW w:w="1790" w:type="pct"/>
            <w:gridSpan w:val="5"/>
            <w:tcBorders>
              <w:top w:val="single" w:sz="8" w:space="0" w:color="auto"/>
              <w:left w:val="nil"/>
              <w:bottom w:val="single" w:sz="8" w:space="0" w:color="auto"/>
              <w:right w:val="single" w:sz="8" w:space="0" w:color="000000"/>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Характеристики товара, работы, услуги</w:t>
            </w:r>
          </w:p>
        </w:tc>
        <w:tc>
          <w:tcPr>
            <w:tcW w:w="25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Единица измерения</w:t>
            </w:r>
          </w:p>
        </w:tc>
        <w:tc>
          <w:tcPr>
            <w:tcW w:w="280" w:type="pct"/>
            <w:vMerge w:val="restart"/>
            <w:tcBorders>
              <w:top w:val="single" w:sz="8" w:space="0" w:color="auto"/>
              <w:left w:val="single" w:sz="8" w:space="0" w:color="auto"/>
              <w:bottom w:val="single" w:sz="8" w:space="0" w:color="000000"/>
              <w:right w:val="nil"/>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Количество</w:t>
            </w:r>
          </w:p>
        </w:tc>
        <w:tc>
          <w:tcPr>
            <w:tcW w:w="681"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AB6B84" w:rsidRPr="00AB6B84" w:rsidRDefault="00AB6B84" w:rsidP="00AB6B84">
            <w:pPr>
              <w:spacing w:after="0" w:line="240" w:lineRule="auto"/>
              <w:jc w:val="center"/>
              <w:rPr>
                <w:rFonts w:ascii="Calibri" w:eastAsia="Times New Roman" w:hAnsi="Calibri" w:cs="Times New Roman"/>
                <w:color w:val="000000"/>
                <w:lang w:eastAsia="ru-RU"/>
              </w:rPr>
            </w:pPr>
            <w:r w:rsidRPr="00AB6B84">
              <w:rPr>
                <w:rFonts w:ascii="Calibri" w:eastAsia="Times New Roman" w:hAnsi="Calibri" w:cs="Times New Roman"/>
                <w:color w:val="000000"/>
                <w:lang w:eastAsia="ru-RU"/>
              </w:rPr>
              <w:t>Страна происхождения Товара</w:t>
            </w:r>
          </w:p>
        </w:tc>
        <w:tc>
          <w:tcPr>
            <w:tcW w:w="327"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AB6B84" w:rsidRPr="00AB6B84" w:rsidRDefault="00AB6B84" w:rsidP="00AB6B84">
            <w:pPr>
              <w:spacing w:after="0" w:line="240" w:lineRule="auto"/>
              <w:jc w:val="center"/>
              <w:rPr>
                <w:rFonts w:ascii="Calibri" w:eastAsia="Times New Roman" w:hAnsi="Calibri" w:cs="Times New Roman"/>
                <w:color w:val="000000"/>
                <w:lang w:eastAsia="ru-RU"/>
              </w:rPr>
            </w:pPr>
            <w:r w:rsidRPr="00AB6B84">
              <w:rPr>
                <w:rFonts w:ascii="Calibri" w:eastAsia="Times New Roman" w:hAnsi="Calibri" w:cs="Times New Roman"/>
                <w:color w:val="000000"/>
                <w:lang w:eastAsia="ru-RU"/>
              </w:rPr>
              <w:t>Ставка НДС%</w:t>
            </w:r>
          </w:p>
        </w:tc>
        <w:tc>
          <w:tcPr>
            <w:tcW w:w="465"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AB6B84" w:rsidRPr="00AB6B84" w:rsidRDefault="00AB6B84" w:rsidP="00AB6B84">
            <w:pPr>
              <w:spacing w:after="0" w:line="240" w:lineRule="auto"/>
              <w:jc w:val="center"/>
              <w:rPr>
                <w:rFonts w:ascii="Calibri" w:eastAsia="Times New Roman" w:hAnsi="Calibri" w:cs="Times New Roman"/>
                <w:color w:val="000000"/>
                <w:lang w:eastAsia="ru-RU"/>
              </w:rPr>
            </w:pPr>
            <w:r w:rsidRPr="00AB6B84">
              <w:rPr>
                <w:rFonts w:ascii="Calibri" w:eastAsia="Times New Roman" w:hAnsi="Calibri" w:cs="Times New Roman"/>
                <w:color w:val="000000"/>
                <w:lang w:eastAsia="ru-RU"/>
              </w:rPr>
              <w:t>Цена за ед. без НДС</w:t>
            </w:r>
          </w:p>
        </w:tc>
        <w:tc>
          <w:tcPr>
            <w:tcW w:w="372"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AB6B84" w:rsidRPr="00AB6B84" w:rsidRDefault="00AB6B84" w:rsidP="00AB6B84">
            <w:pPr>
              <w:spacing w:after="0" w:line="240" w:lineRule="auto"/>
              <w:jc w:val="center"/>
              <w:rPr>
                <w:rFonts w:ascii="Calibri" w:eastAsia="Times New Roman" w:hAnsi="Calibri" w:cs="Times New Roman"/>
                <w:color w:val="000000"/>
                <w:lang w:eastAsia="ru-RU"/>
              </w:rPr>
            </w:pPr>
            <w:r w:rsidRPr="00AB6B84">
              <w:rPr>
                <w:rFonts w:ascii="Calibri" w:eastAsia="Times New Roman" w:hAnsi="Calibri" w:cs="Times New Roman"/>
                <w:color w:val="000000"/>
                <w:lang w:eastAsia="ru-RU"/>
              </w:rPr>
              <w:t>Сумма без НДС</w:t>
            </w:r>
          </w:p>
        </w:tc>
      </w:tr>
      <w:tr w:rsidR="00AB6B84" w:rsidRPr="00AB6B84" w:rsidTr="00AB6B84">
        <w:trPr>
          <w:trHeight w:val="402"/>
        </w:trPr>
        <w:tc>
          <w:tcPr>
            <w:tcW w:w="523" w:type="pct"/>
            <w:vMerge/>
            <w:tcBorders>
              <w:top w:val="single" w:sz="8" w:space="0" w:color="auto"/>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304" w:type="pct"/>
            <w:vMerge/>
            <w:tcBorders>
              <w:top w:val="single" w:sz="8" w:space="0" w:color="auto"/>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353"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Наименование характеристики</w:t>
            </w:r>
          </w:p>
        </w:tc>
        <w:tc>
          <w:tcPr>
            <w:tcW w:w="353"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Значение характеристики</w:t>
            </w:r>
          </w:p>
        </w:tc>
        <w:tc>
          <w:tcPr>
            <w:tcW w:w="353"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Единица измерения характеристики</w:t>
            </w:r>
          </w:p>
        </w:tc>
        <w:tc>
          <w:tcPr>
            <w:tcW w:w="353"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Инструкция по заполнению характеристик в заявке</w:t>
            </w:r>
          </w:p>
        </w:tc>
        <w:tc>
          <w:tcPr>
            <w:tcW w:w="378"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Обоснование дополнительных характеристик</w:t>
            </w:r>
          </w:p>
        </w:tc>
        <w:tc>
          <w:tcPr>
            <w:tcW w:w="258" w:type="pct"/>
            <w:vMerge/>
            <w:tcBorders>
              <w:top w:val="single" w:sz="8" w:space="0" w:color="auto"/>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280" w:type="pct"/>
            <w:vMerge/>
            <w:tcBorders>
              <w:top w:val="single" w:sz="8" w:space="0" w:color="auto"/>
              <w:left w:val="single" w:sz="8" w:space="0" w:color="auto"/>
              <w:bottom w:val="single" w:sz="8" w:space="0" w:color="000000"/>
              <w:right w:val="nil"/>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681" w:type="pct"/>
            <w:vMerge/>
            <w:tcBorders>
              <w:top w:val="single" w:sz="4" w:space="0" w:color="auto"/>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c>
          <w:tcPr>
            <w:tcW w:w="327" w:type="pct"/>
            <w:vMerge/>
            <w:tcBorders>
              <w:top w:val="single" w:sz="4" w:space="0" w:color="auto"/>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c>
          <w:tcPr>
            <w:tcW w:w="465" w:type="pct"/>
            <w:vMerge/>
            <w:tcBorders>
              <w:top w:val="single" w:sz="4" w:space="0" w:color="auto"/>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c>
          <w:tcPr>
            <w:tcW w:w="372" w:type="pct"/>
            <w:vMerge/>
            <w:tcBorders>
              <w:top w:val="single" w:sz="4" w:space="0" w:color="auto"/>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r>
      <w:tr w:rsidR="00AB6B84" w:rsidRPr="00AB6B84" w:rsidTr="00AB6B84">
        <w:trPr>
          <w:trHeight w:val="402"/>
        </w:trPr>
        <w:tc>
          <w:tcPr>
            <w:tcW w:w="523" w:type="pct"/>
            <w:vMerge w:val="restart"/>
            <w:tcBorders>
              <w:top w:val="nil"/>
              <w:left w:val="single" w:sz="8" w:space="0" w:color="auto"/>
              <w:bottom w:val="single" w:sz="8" w:space="0" w:color="000000"/>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b/>
                <w:bCs/>
                <w:color w:val="000000"/>
                <w:sz w:val="20"/>
                <w:szCs w:val="20"/>
                <w:lang w:eastAsia="ru-RU"/>
              </w:rPr>
            </w:pPr>
            <w:r w:rsidRPr="00AB6B84">
              <w:rPr>
                <w:rFonts w:ascii="Times New Roman" w:eastAsia="Times New Roman" w:hAnsi="Times New Roman" w:cs="Times New Roman"/>
                <w:b/>
                <w:bCs/>
                <w:color w:val="000000"/>
                <w:sz w:val="20"/>
                <w:szCs w:val="20"/>
                <w:lang w:eastAsia="ru-RU"/>
              </w:rPr>
              <w:t xml:space="preserve">Частицы для </w:t>
            </w:r>
            <w:proofErr w:type="spellStart"/>
            <w:r w:rsidRPr="00AB6B84">
              <w:rPr>
                <w:rFonts w:ascii="Times New Roman" w:eastAsia="Times New Roman" w:hAnsi="Times New Roman" w:cs="Times New Roman"/>
                <w:b/>
                <w:bCs/>
                <w:color w:val="000000"/>
                <w:sz w:val="20"/>
                <w:szCs w:val="20"/>
                <w:lang w:eastAsia="ru-RU"/>
              </w:rPr>
              <w:t>эмболизации</w:t>
            </w:r>
            <w:proofErr w:type="spellEnd"/>
            <w:r w:rsidRPr="00AB6B84">
              <w:rPr>
                <w:rFonts w:ascii="Times New Roman" w:eastAsia="Times New Roman" w:hAnsi="Times New Roman" w:cs="Times New Roman"/>
                <w:b/>
                <w:bCs/>
                <w:color w:val="000000"/>
                <w:sz w:val="20"/>
                <w:szCs w:val="20"/>
                <w:lang w:eastAsia="ru-RU"/>
              </w:rPr>
              <w:t xml:space="preserve"> сосудов с химиотерапевтическим средством</w:t>
            </w:r>
          </w:p>
        </w:tc>
        <w:tc>
          <w:tcPr>
            <w:tcW w:w="304" w:type="pct"/>
            <w:vMerge w:val="restart"/>
            <w:tcBorders>
              <w:top w:val="nil"/>
              <w:left w:val="single" w:sz="8" w:space="0" w:color="auto"/>
              <w:bottom w:val="single" w:sz="8" w:space="0" w:color="000000"/>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32.50.50.190-00001558**</w:t>
            </w:r>
          </w:p>
        </w:tc>
        <w:tc>
          <w:tcPr>
            <w:tcW w:w="353" w:type="pct"/>
            <w:vMerge w:val="restart"/>
            <w:tcBorders>
              <w:top w:val="nil"/>
              <w:left w:val="single" w:sz="8" w:space="0" w:color="auto"/>
              <w:bottom w:val="single" w:sz="8" w:space="0" w:color="000000"/>
              <w:right w:val="single" w:sz="8" w:space="0" w:color="auto"/>
            </w:tcBorders>
            <w:shd w:val="clear" w:color="auto" w:fill="auto"/>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Возможность насыщения лекарственным препаратом</w:t>
            </w:r>
          </w:p>
        </w:tc>
        <w:tc>
          <w:tcPr>
            <w:tcW w:w="353" w:type="pct"/>
            <w:vMerge w:val="restart"/>
            <w:tcBorders>
              <w:top w:val="nil"/>
              <w:left w:val="single" w:sz="8" w:space="0" w:color="auto"/>
              <w:bottom w:val="single" w:sz="8" w:space="0" w:color="000000"/>
              <w:right w:val="single" w:sz="8" w:space="0" w:color="auto"/>
            </w:tcBorders>
            <w:shd w:val="clear" w:color="auto" w:fill="auto"/>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Соответствует</w:t>
            </w:r>
          </w:p>
        </w:tc>
        <w:tc>
          <w:tcPr>
            <w:tcW w:w="353" w:type="pct"/>
            <w:vMerge w:val="restart"/>
            <w:tcBorders>
              <w:top w:val="nil"/>
              <w:left w:val="single" w:sz="8" w:space="0" w:color="auto"/>
              <w:bottom w:val="single" w:sz="8" w:space="0" w:color="000000"/>
              <w:right w:val="single" w:sz="8" w:space="0" w:color="auto"/>
            </w:tcBorders>
            <w:shd w:val="clear" w:color="auto" w:fill="auto"/>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 </w:t>
            </w:r>
          </w:p>
        </w:tc>
        <w:tc>
          <w:tcPr>
            <w:tcW w:w="353" w:type="pct"/>
            <w:vMerge w:val="restart"/>
            <w:tcBorders>
              <w:top w:val="nil"/>
              <w:left w:val="single" w:sz="8" w:space="0" w:color="auto"/>
              <w:bottom w:val="single" w:sz="8" w:space="0" w:color="000000"/>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378" w:type="pct"/>
            <w:vMerge w:val="restart"/>
            <w:tcBorders>
              <w:top w:val="nil"/>
              <w:left w:val="single" w:sz="8" w:space="0" w:color="auto"/>
              <w:bottom w:val="single" w:sz="8" w:space="0" w:color="000000"/>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 xml:space="preserve">Позволяет концентрировать лекарственное вещество в зоне </w:t>
            </w:r>
            <w:proofErr w:type="spellStart"/>
            <w:r w:rsidRPr="00AB6B84">
              <w:rPr>
                <w:rFonts w:ascii="Times New Roman" w:eastAsia="Times New Roman" w:hAnsi="Times New Roman" w:cs="Times New Roman"/>
                <w:color w:val="000000"/>
                <w:sz w:val="20"/>
                <w:szCs w:val="20"/>
                <w:lang w:eastAsia="ru-RU"/>
              </w:rPr>
              <w:t>эмболизации</w:t>
            </w:r>
            <w:proofErr w:type="spellEnd"/>
          </w:p>
        </w:tc>
        <w:tc>
          <w:tcPr>
            <w:tcW w:w="258" w:type="pct"/>
            <w:vMerge w:val="restart"/>
            <w:tcBorders>
              <w:top w:val="nil"/>
              <w:left w:val="single" w:sz="8" w:space="0" w:color="auto"/>
              <w:bottom w:val="single" w:sz="8" w:space="0" w:color="000000"/>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Штука</w:t>
            </w:r>
          </w:p>
        </w:tc>
        <w:tc>
          <w:tcPr>
            <w:tcW w:w="280" w:type="pct"/>
            <w:vMerge w:val="restart"/>
            <w:tcBorders>
              <w:top w:val="nil"/>
              <w:left w:val="single" w:sz="8" w:space="0" w:color="auto"/>
              <w:bottom w:val="single" w:sz="8" w:space="0" w:color="000000"/>
              <w:right w:val="nil"/>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6</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AB6B84" w:rsidRPr="00AB6B84" w:rsidRDefault="00AB6B84" w:rsidP="00AB6B84">
            <w:pPr>
              <w:spacing w:after="0" w:line="240" w:lineRule="auto"/>
              <w:jc w:val="center"/>
              <w:rPr>
                <w:rFonts w:ascii="Calibri" w:eastAsia="Times New Roman" w:hAnsi="Calibri" w:cs="Times New Roman"/>
                <w:color w:val="000000"/>
                <w:lang w:eastAsia="ru-RU"/>
              </w:rPr>
            </w:pPr>
            <w:r w:rsidRPr="00AB6B84">
              <w:rPr>
                <w:rFonts w:ascii="Calibri" w:eastAsia="Times New Roman" w:hAnsi="Calibri" w:cs="Times New Roman"/>
                <w:color w:val="000000"/>
                <w:lang w:eastAsia="ru-RU"/>
              </w:rPr>
              <w:t> </w:t>
            </w:r>
          </w:p>
        </w:tc>
        <w:tc>
          <w:tcPr>
            <w:tcW w:w="327"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AB6B84" w:rsidRPr="00AB6B84" w:rsidRDefault="00AB6B84" w:rsidP="00AB6B84">
            <w:pPr>
              <w:spacing w:after="0" w:line="240" w:lineRule="auto"/>
              <w:jc w:val="center"/>
              <w:rPr>
                <w:rFonts w:ascii="Calibri" w:eastAsia="Times New Roman" w:hAnsi="Calibri" w:cs="Times New Roman"/>
                <w:color w:val="000000"/>
                <w:lang w:eastAsia="ru-RU"/>
              </w:rPr>
            </w:pPr>
            <w:r w:rsidRPr="00AB6B84">
              <w:rPr>
                <w:rFonts w:ascii="Calibri" w:eastAsia="Times New Roman" w:hAnsi="Calibri" w:cs="Times New Roman"/>
                <w:color w:val="000000"/>
                <w:lang w:eastAsia="ru-RU"/>
              </w:rPr>
              <w:t> </w:t>
            </w:r>
          </w:p>
        </w:tc>
        <w:tc>
          <w:tcPr>
            <w:tcW w:w="465"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AB6B84" w:rsidRPr="00AB6B84" w:rsidRDefault="00AB6B84" w:rsidP="00AB6B84">
            <w:pPr>
              <w:spacing w:after="0" w:line="240" w:lineRule="auto"/>
              <w:jc w:val="center"/>
              <w:rPr>
                <w:rFonts w:ascii="Calibri" w:eastAsia="Times New Roman" w:hAnsi="Calibri" w:cs="Times New Roman"/>
                <w:color w:val="000000"/>
                <w:lang w:eastAsia="ru-RU"/>
              </w:rPr>
            </w:pPr>
            <w:r w:rsidRPr="00AB6B84">
              <w:rPr>
                <w:rFonts w:ascii="Calibri" w:eastAsia="Times New Roman" w:hAnsi="Calibri" w:cs="Times New Roman"/>
                <w:color w:val="000000"/>
                <w:lang w:eastAsia="ru-RU"/>
              </w:rPr>
              <w:t> </w:t>
            </w:r>
          </w:p>
        </w:tc>
        <w:tc>
          <w:tcPr>
            <w:tcW w:w="372"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AB6B84" w:rsidRPr="00AB6B84" w:rsidRDefault="00AB6B84" w:rsidP="00AB6B84">
            <w:pPr>
              <w:spacing w:after="0" w:line="240" w:lineRule="auto"/>
              <w:jc w:val="center"/>
              <w:rPr>
                <w:rFonts w:ascii="Calibri" w:eastAsia="Times New Roman" w:hAnsi="Calibri" w:cs="Times New Roman"/>
                <w:color w:val="000000"/>
                <w:lang w:eastAsia="ru-RU"/>
              </w:rPr>
            </w:pPr>
            <w:r w:rsidRPr="00AB6B84">
              <w:rPr>
                <w:rFonts w:ascii="Calibri" w:eastAsia="Times New Roman" w:hAnsi="Calibri" w:cs="Times New Roman"/>
                <w:color w:val="000000"/>
                <w:lang w:eastAsia="ru-RU"/>
              </w:rPr>
              <w:t> </w:t>
            </w:r>
          </w:p>
        </w:tc>
      </w:tr>
      <w:tr w:rsidR="00AB6B84" w:rsidRPr="00AB6B84" w:rsidTr="00AB6B84">
        <w:trPr>
          <w:trHeight w:val="402"/>
        </w:trPr>
        <w:tc>
          <w:tcPr>
            <w:tcW w:w="523" w:type="pct"/>
            <w:vMerge/>
            <w:tcBorders>
              <w:top w:val="nil"/>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b/>
                <w:bCs/>
                <w:color w:val="000000"/>
                <w:sz w:val="20"/>
                <w:szCs w:val="20"/>
                <w:lang w:eastAsia="ru-RU"/>
              </w:rPr>
            </w:pPr>
          </w:p>
        </w:tc>
        <w:tc>
          <w:tcPr>
            <w:tcW w:w="304" w:type="pct"/>
            <w:vMerge/>
            <w:tcBorders>
              <w:top w:val="nil"/>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353" w:type="pct"/>
            <w:vMerge/>
            <w:tcBorders>
              <w:top w:val="nil"/>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353" w:type="pct"/>
            <w:vMerge/>
            <w:tcBorders>
              <w:top w:val="nil"/>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353" w:type="pct"/>
            <w:vMerge/>
            <w:tcBorders>
              <w:top w:val="nil"/>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353" w:type="pct"/>
            <w:vMerge/>
            <w:tcBorders>
              <w:top w:val="nil"/>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378" w:type="pct"/>
            <w:vMerge/>
            <w:tcBorders>
              <w:top w:val="nil"/>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258" w:type="pct"/>
            <w:vMerge/>
            <w:tcBorders>
              <w:top w:val="nil"/>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280" w:type="pct"/>
            <w:vMerge/>
            <w:tcBorders>
              <w:top w:val="nil"/>
              <w:left w:val="single" w:sz="8" w:space="0" w:color="auto"/>
              <w:bottom w:val="single" w:sz="8" w:space="0" w:color="000000"/>
              <w:right w:val="nil"/>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681" w:type="pct"/>
            <w:vMerge/>
            <w:tcBorders>
              <w:top w:val="nil"/>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c>
          <w:tcPr>
            <w:tcW w:w="327" w:type="pct"/>
            <w:vMerge/>
            <w:tcBorders>
              <w:top w:val="nil"/>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c>
          <w:tcPr>
            <w:tcW w:w="465" w:type="pct"/>
            <w:vMerge/>
            <w:tcBorders>
              <w:top w:val="nil"/>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c>
          <w:tcPr>
            <w:tcW w:w="372" w:type="pct"/>
            <w:vMerge/>
            <w:tcBorders>
              <w:top w:val="nil"/>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r>
      <w:tr w:rsidR="00AB6B84" w:rsidRPr="00AB6B84" w:rsidTr="00AB6B84">
        <w:trPr>
          <w:trHeight w:val="402"/>
        </w:trPr>
        <w:tc>
          <w:tcPr>
            <w:tcW w:w="523" w:type="pct"/>
            <w:vMerge/>
            <w:tcBorders>
              <w:top w:val="nil"/>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b/>
                <w:bCs/>
                <w:color w:val="000000"/>
                <w:sz w:val="20"/>
                <w:szCs w:val="20"/>
                <w:lang w:eastAsia="ru-RU"/>
              </w:rPr>
            </w:pPr>
          </w:p>
        </w:tc>
        <w:tc>
          <w:tcPr>
            <w:tcW w:w="304" w:type="pct"/>
            <w:vMerge/>
            <w:tcBorders>
              <w:top w:val="nil"/>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353"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Диаметр частиц</w:t>
            </w:r>
          </w:p>
        </w:tc>
        <w:tc>
          <w:tcPr>
            <w:tcW w:w="353"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 40  и  ≤ 300</w:t>
            </w:r>
          </w:p>
        </w:tc>
        <w:tc>
          <w:tcPr>
            <w:tcW w:w="353"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мкм</w:t>
            </w:r>
          </w:p>
        </w:tc>
        <w:tc>
          <w:tcPr>
            <w:tcW w:w="353"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Участник закупки указывает в заявке диапазон значений характеристики</w:t>
            </w:r>
          </w:p>
        </w:tc>
        <w:tc>
          <w:tcPr>
            <w:tcW w:w="378"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 xml:space="preserve">Обеспечивает эффективную и безопасную </w:t>
            </w:r>
            <w:proofErr w:type="spellStart"/>
            <w:r w:rsidRPr="00AB6B84">
              <w:rPr>
                <w:rFonts w:ascii="Times New Roman" w:eastAsia="Times New Roman" w:hAnsi="Times New Roman" w:cs="Times New Roman"/>
                <w:color w:val="000000"/>
                <w:sz w:val="20"/>
                <w:szCs w:val="20"/>
                <w:lang w:eastAsia="ru-RU"/>
              </w:rPr>
              <w:t>эмболизацию</w:t>
            </w:r>
            <w:proofErr w:type="spellEnd"/>
          </w:p>
        </w:tc>
        <w:tc>
          <w:tcPr>
            <w:tcW w:w="258" w:type="pct"/>
            <w:vMerge/>
            <w:tcBorders>
              <w:top w:val="nil"/>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280" w:type="pct"/>
            <w:vMerge/>
            <w:tcBorders>
              <w:top w:val="nil"/>
              <w:left w:val="single" w:sz="8" w:space="0" w:color="auto"/>
              <w:bottom w:val="single" w:sz="8" w:space="0" w:color="000000"/>
              <w:right w:val="nil"/>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681" w:type="pct"/>
            <w:vMerge/>
            <w:tcBorders>
              <w:top w:val="nil"/>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c>
          <w:tcPr>
            <w:tcW w:w="327" w:type="pct"/>
            <w:vMerge/>
            <w:tcBorders>
              <w:top w:val="nil"/>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c>
          <w:tcPr>
            <w:tcW w:w="465" w:type="pct"/>
            <w:vMerge/>
            <w:tcBorders>
              <w:top w:val="nil"/>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c>
          <w:tcPr>
            <w:tcW w:w="372" w:type="pct"/>
            <w:vMerge/>
            <w:tcBorders>
              <w:top w:val="nil"/>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r>
      <w:tr w:rsidR="00AB6B84" w:rsidRPr="00AB6B84" w:rsidTr="00AB6B84">
        <w:trPr>
          <w:trHeight w:val="402"/>
        </w:trPr>
        <w:tc>
          <w:tcPr>
            <w:tcW w:w="523" w:type="pct"/>
            <w:vMerge/>
            <w:tcBorders>
              <w:top w:val="nil"/>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b/>
                <w:bCs/>
                <w:color w:val="000000"/>
                <w:sz w:val="20"/>
                <w:szCs w:val="20"/>
                <w:lang w:eastAsia="ru-RU"/>
              </w:rPr>
            </w:pPr>
          </w:p>
        </w:tc>
        <w:tc>
          <w:tcPr>
            <w:tcW w:w="304" w:type="pct"/>
            <w:vMerge/>
            <w:tcBorders>
              <w:top w:val="nil"/>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353"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Форма выпуска</w:t>
            </w:r>
          </w:p>
        </w:tc>
        <w:tc>
          <w:tcPr>
            <w:tcW w:w="353"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флакон</w:t>
            </w:r>
          </w:p>
        </w:tc>
        <w:tc>
          <w:tcPr>
            <w:tcW w:w="353"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 </w:t>
            </w:r>
          </w:p>
        </w:tc>
        <w:tc>
          <w:tcPr>
            <w:tcW w:w="353"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378"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Флакон обеспечивает надёжную защиту частиц от внешних воздействий</w:t>
            </w:r>
          </w:p>
        </w:tc>
        <w:tc>
          <w:tcPr>
            <w:tcW w:w="258" w:type="pct"/>
            <w:vMerge/>
            <w:tcBorders>
              <w:top w:val="nil"/>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280" w:type="pct"/>
            <w:vMerge/>
            <w:tcBorders>
              <w:top w:val="nil"/>
              <w:left w:val="single" w:sz="8" w:space="0" w:color="auto"/>
              <w:bottom w:val="single" w:sz="8" w:space="0" w:color="000000"/>
              <w:right w:val="nil"/>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681" w:type="pct"/>
            <w:vMerge/>
            <w:tcBorders>
              <w:top w:val="nil"/>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c>
          <w:tcPr>
            <w:tcW w:w="327" w:type="pct"/>
            <w:vMerge/>
            <w:tcBorders>
              <w:top w:val="nil"/>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c>
          <w:tcPr>
            <w:tcW w:w="465" w:type="pct"/>
            <w:vMerge/>
            <w:tcBorders>
              <w:top w:val="nil"/>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c>
          <w:tcPr>
            <w:tcW w:w="372" w:type="pct"/>
            <w:vMerge/>
            <w:tcBorders>
              <w:top w:val="nil"/>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r>
      <w:tr w:rsidR="00AB6B84" w:rsidRPr="00AB6B84" w:rsidTr="00AB6B84">
        <w:trPr>
          <w:trHeight w:val="402"/>
        </w:trPr>
        <w:tc>
          <w:tcPr>
            <w:tcW w:w="523" w:type="pct"/>
            <w:vMerge/>
            <w:tcBorders>
              <w:top w:val="nil"/>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b/>
                <w:bCs/>
                <w:color w:val="000000"/>
                <w:sz w:val="20"/>
                <w:szCs w:val="20"/>
                <w:lang w:eastAsia="ru-RU"/>
              </w:rPr>
            </w:pPr>
          </w:p>
        </w:tc>
        <w:tc>
          <w:tcPr>
            <w:tcW w:w="304" w:type="pct"/>
            <w:vMerge/>
            <w:tcBorders>
              <w:top w:val="nil"/>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353"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Объем флакона</w:t>
            </w:r>
          </w:p>
        </w:tc>
        <w:tc>
          <w:tcPr>
            <w:tcW w:w="353"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 10</w:t>
            </w:r>
          </w:p>
        </w:tc>
        <w:tc>
          <w:tcPr>
            <w:tcW w:w="353"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 xml:space="preserve"> мл</w:t>
            </w:r>
          </w:p>
        </w:tc>
        <w:tc>
          <w:tcPr>
            <w:tcW w:w="353"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Участник закупки указывает в заявке конкретное значение характеристики</w:t>
            </w:r>
          </w:p>
        </w:tc>
        <w:tc>
          <w:tcPr>
            <w:tcW w:w="378" w:type="pct"/>
            <w:tcBorders>
              <w:top w:val="nil"/>
              <w:left w:val="nil"/>
              <w:bottom w:val="single" w:sz="8" w:space="0" w:color="auto"/>
              <w:right w:val="single" w:sz="8" w:space="0" w:color="auto"/>
            </w:tcBorders>
            <w:shd w:val="clear" w:color="auto" w:fill="auto"/>
            <w:vAlign w:val="center"/>
            <w:hideMark/>
          </w:tcPr>
          <w:p w:rsidR="00AB6B84" w:rsidRPr="00AB6B84" w:rsidRDefault="00AB6B84" w:rsidP="00AB6B84">
            <w:pPr>
              <w:spacing w:after="0" w:line="240" w:lineRule="auto"/>
              <w:jc w:val="center"/>
              <w:rPr>
                <w:rFonts w:ascii="Times New Roman" w:eastAsia="Times New Roman" w:hAnsi="Times New Roman" w:cs="Times New Roman"/>
                <w:color w:val="000000"/>
                <w:sz w:val="20"/>
                <w:szCs w:val="20"/>
                <w:lang w:eastAsia="ru-RU"/>
              </w:rPr>
            </w:pPr>
            <w:r w:rsidRPr="00AB6B84">
              <w:rPr>
                <w:rFonts w:ascii="Times New Roman" w:eastAsia="Times New Roman" w:hAnsi="Times New Roman" w:cs="Times New Roman"/>
                <w:color w:val="000000"/>
                <w:sz w:val="20"/>
                <w:szCs w:val="20"/>
                <w:lang w:eastAsia="ru-RU"/>
              </w:rPr>
              <w:t>Оптимальный объем для эффективного выполнения процедуры</w:t>
            </w:r>
          </w:p>
        </w:tc>
        <w:tc>
          <w:tcPr>
            <w:tcW w:w="258" w:type="pct"/>
            <w:vMerge/>
            <w:tcBorders>
              <w:top w:val="nil"/>
              <w:left w:val="single" w:sz="8" w:space="0" w:color="auto"/>
              <w:bottom w:val="single" w:sz="8" w:space="0" w:color="000000"/>
              <w:right w:val="single" w:sz="8" w:space="0" w:color="auto"/>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280" w:type="pct"/>
            <w:vMerge/>
            <w:tcBorders>
              <w:top w:val="nil"/>
              <w:left w:val="single" w:sz="8" w:space="0" w:color="auto"/>
              <w:bottom w:val="single" w:sz="8" w:space="0" w:color="000000"/>
              <w:right w:val="nil"/>
            </w:tcBorders>
            <w:vAlign w:val="center"/>
            <w:hideMark/>
          </w:tcPr>
          <w:p w:rsidR="00AB6B84" w:rsidRPr="00AB6B84" w:rsidRDefault="00AB6B84" w:rsidP="00AB6B84">
            <w:pPr>
              <w:spacing w:after="0" w:line="240" w:lineRule="auto"/>
              <w:rPr>
                <w:rFonts w:ascii="Times New Roman" w:eastAsia="Times New Roman" w:hAnsi="Times New Roman" w:cs="Times New Roman"/>
                <w:color w:val="000000"/>
                <w:sz w:val="20"/>
                <w:szCs w:val="20"/>
                <w:lang w:eastAsia="ru-RU"/>
              </w:rPr>
            </w:pPr>
          </w:p>
        </w:tc>
        <w:tc>
          <w:tcPr>
            <w:tcW w:w="681" w:type="pct"/>
            <w:vMerge/>
            <w:tcBorders>
              <w:top w:val="nil"/>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c>
          <w:tcPr>
            <w:tcW w:w="327" w:type="pct"/>
            <w:vMerge/>
            <w:tcBorders>
              <w:top w:val="nil"/>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c>
          <w:tcPr>
            <w:tcW w:w="465" w:type="pct"/>
            <w:vMerge/>
            <w:tcBorders>
              <w:top w:val="nil"/>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c>
          <w:tcPr>
            <w:tcW w:w="372" w:type="pct"/>
            <w:vMerge/>
            <w:tcBorders>
              <w:top w:val="nil"/>
              <w:left w:val="single" w:sz="4" w:space="0" w:color="auto"/>
              <w:bottom w:val="single" w:sz="4" w:space="0" w:color="000000"/>
              <w:right w:val="single" w:sz="4" w:space="0" w:color="auto"/>
            </w:tcBorders>
            <w:vAlign w:val="center"/>
            <w:hideMark/>
          </w:tcPr>
          <w:p w:rsidR="00AB6B84" w:rsidRPr="00AB6B84" w:rsidRDefault="00AB6B84" w:rsidP="00AB6B84">
            <w:pPr>
              <w:spacing w:after="0" w:line="240" w:lineRule="auto"/>
              <w:rPr>
                <w:rFonts w:ascii="Calibri" w:eastAsia="Times New Roman" w:hAnsi="Calibri" w:cs="Times New Roman"/>
                <w:color w:val="000000"/>
                <w:lang w:eastAsia="ru-RU"/>
              </w:rPr>
            </w:pPr>
          </w:p>
        </w:tc>
      </w:tr>
    </w:tbl>
    <w:p w:rsidR="00AB6B84" w:rsidRDefault="00AB6B84" w:rsidP="00AB6B84">
      <w:pPr>
        <w:autoSpaceDE w:val="0"/>
        <w:autoSpaceDN w:val="0"/>
        <w:adjustRightInd w:val="0"/>
        <w:rPr>
          <w:rFonts w:ascii="Times New Roman CYR" w:hAnsi="Times New Roman CYR" w:cs="Times New Roman CYR"/>
          <w:b/>
          <w:bCs/>
        </w:rPr>
      </w:pPr>
      <w:r>
        <w:rPr>
          <w:rFonts w:ascii="Times New Roman CYR" w:hAnsi="Times New Roman CYR" w:cs="Times New Roman CYR"/>
          <w:b/>
          <w:bCs/>
        </w:rPr>
        <w:t>**</w:t>
      </w:r>
      <w:r>
        <w:rPr>
          <w:rFonts w:ascii="Times New Roman CYR" w:hAnsi="Times New Roman CYR" w:cs="Times New Roman CYR"/>
          <w:b/>
          <w:bCs/>
          <w:i/>
          <w:iCs/>
        </w:rPr>
        <w:t>В связи с отсутствием сведений о характеристиках товара в описании позиции КТРУ, соответствующей закупаемому товару, Заказчиком определены технические и функциональные характеристики товара согласно потребностями в соответствии с положениями статьи 33 Федерального закона от 05.04.2013 № 44-ФЗ</w:t>
      </w:r>
      <w:r>
        <w:rPr>
          <w:rFonts w:ascii="Times New Roman CYR" w:hAnsi="Times New Roman CYR" w:cs="Times New Roman CYR"/>
          <w:b/>
          <w:bCs/>
        </w:rPr>
        <w:t xml:space="preserve"> </w:t>
      </w:r>
      <w:r>
        <w:rPr>
          <w:rFonts w:ascii="Roboto" w:hAnsi="Roboto" w:cs="Roboto"/>
          <w:color w:val="333333"/>
          <w:highlight w:val="white"/>
          <w:lang w:val="en-US"/>
        </w:rPr>
        <w:t>(</w:t>
      </w:r>
      <w:hyperlink r:id="rId18" w:history="1">
        <w:r>
          <w:rPr>
            <w:rFonts w:ascii="Calibri" w:hAnsi="Calibri" w:cs="Calibri"/>
            <w:color w:val="0064E0"/>
            <w:highlight w:val="white"/>
            <w:u w:val="single"/>
          </w:rPr>
          <w:t>письмо</w:t>
        </w:r>
      </w:hyperlink>
      <w:r>
        <w:rPr>
          <w:rFonts w:ascii="Roboto" w:hAnsi="Roboto" w:cs="Roboto"/>
          <w:color w:val="333333"/>
          <w:highlight w:val="white"/>
          <w:lang w:val="en-US"/>
        </w:rPr>
        <w:t> </w:t>
      </w:r>
      <w:r>
        <w:rPr>
          <w:rFonts w:ascii="Calibri" w:hAnsi="Calibri" w:cs="Calibri"/>
          <w:color w:val="333333"/>
          <w:highlight w:val="white"/>
        </w:rPr>
        <w:t>Минфина</w:t>
      </w:r>
      <w:r>
        <w:rPr>
          <w:rFonts w:ascii="Roboto" w:hAnsi="Roboto" w:cs="Roboto"/>
          <w:color w:val="333333"/>
          <w:highlight w:val="white"/>
          <w:lang w:val="en-US"/>
        </w:rPr>
        <w:t xml:space="preserve"> </w:t>
      </w:r>
      <w:r>
        <w:rPr>
          <w:rFonts w:ascii="Calibri" w:hAnsi="Calibri" w:cs="Calibri"/>
          <w:color w:val="333333"/>
          <w:highlight w:val="white"/>
        </w:rPr>
        <w:t>России</w:t>
      </w:r>
      <w:r>
        <w:rPr>
          <w:rFonts w:ascii="Roboto" w:hAnsi="Roboto" w:cs="Roboto"/>
          <w:color w:val="333333"/>
          <w:highlight w:val="white"/>
          <w:lang w:val="en-US"/>
        </w:rPr>
        <w:t xml:space="preserve"> </w:t>
      </w:r>
      <w:r>
        <w:rPr>
          <w:rFonts w:ascii="Calibri" w:hAnsi="Calibri" w:cs="Calibri"/>
          <w:color w:val="333333"/>
          <w:highlight w:val="white"/>
        </w:rPr>
        <w:t>от</w:t>
      </w:r>
      <w:r>
        <w:rPr>
          <w:rFonts w:ascii="Roboto" w:hAnsi="Roboto" w:cs="Roboto"/>
          <w:color w:val="333333"/>
          <w:highlight w:val="white"/>
          <w:lang w:val="en-US"/>
        </w:rPr>
        <w:t xml:space="preserve"> 24 </w:t>
      </w:r>
      <w:r>
        <w:rPr>
          <w:rFonts w:ascii="Calibri" w:hAnsi="Calibri" w:cs="Calibri"/>
          <w:color w:val="333333"/>
          <w:highlight w:val="white"/>
        </w:rPr>
        <w:t>января</w:t>
      </w:r>
      <w:r>
        <w:rPr>
          <w:rFonts w:ascii="Roboto" w:hAnsi="Roboto" w:cs="Roboto"/>
          <w:color w:val="333333"/>
          <w:highlight w:val="white"/>
          <w:lang w:val="en-US"/>
        </w:rPr>
        <w:t xml:space="preserve"> 2022 </w:t>
      </w:r>
      <w:r>
        <w:rPr>
          <w:rFonts w:ascii="Calibri" w:hAnsi="Calibri" w:cs="Calibri"/>
          <w:color w:val="333333"/>
          <w:highlight w:val="white"/>
        </w:rPr>
        <w:t>г</w:t>
      </w:r>
      <w:r>
        <w:rPr>
          <w:rFonts w:ascii="Roboto" w:hAnsi="Roboto" w:cs="Roboto"/>
          <w:color w:val="333333"/>
          <w:highlight w:val="white"/>
          <w:lang w:val="en-US"/>
        </w:rPr>
        <w:t>. N 24-03-08/4090)</w:t>
      </w:r>
    </w:p>
    <w:p w:rsidR="00170252" w:rsidRDefault="00170252" w:rsidP="000820E3">
      <w:pPr>
        <w:rPr>
          <w:rFonts w:ascii="Times New Roman" w:hAnsi="Times New Roman" w:cs="Times New Roman"/>
          <w:b/>
          <w:sz w:val="28"/>
          <w:szCs w:val="28"/>
        </w:rPr>
      </w:pPr>
    </w:p>
    <w:sectPr w:rsidR="00170252" w:rsidSect="00AB6B84">
      <w:headerReference w:type="first" r:id="rId19"/>
      <w:footerReference w:type="first" r:id="rId20"/>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254" w:rsidRDefault="003C7254">
      <w:pPr>
        <w:spacing w:after="0" w:line="240" w:lineRule="auto"/>
      </w:pPr>
      <w:r>
        <w:separator/>
      </w:r>
    </w:p>
  </w:endnote>
  <w:endnote w:type="continuationSeparator" w:id="0">
    <w:p w:rsidR="003C7254" w:rsidRDefault="003C7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 New Roman CYR">
    <w:panose1 w:val="02020603050405020304"/>
    <w:charset w:val="CC"/>
    <w:family w:val="roman"/>
    <w:pitch w:val="variable"/>
    <w:sig w:usb0="E0002EFF" w:usb1="C0007843" w:usb2="00000009" w:usb3="00000000" w:csb0="000001FF" w:csb1="00000000"/>
  </w:font>
  <w:font w:name="Roboto">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D3033" w:rsidRDefault="009D3033">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D3033">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9D3033">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D3033">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D3033">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D3033">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AB6B84">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254" w:rsidRDefault="003C7254">
      <w:pPr>
        <w:spacing w:after="0" w:line="240" w:lineRule="auto"/>
      </w:pPr>
      <w:r>
        <w:separator/>
      </w:r>
    </w:p>
  </w:footnote>
  <w:footnote w:type="continuationSeparator" w:id="0">
    <w:p w:rsidR="003C7254" w:rsidRDefault="003C7254">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D3033" w:rsidRDefault="009D3033">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D3033" w:rsidRDefault="009D3033">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D3033" w:rsidRDefault="009D3033">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C7254"/>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3033"/>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B6B84"/>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742629862">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minfin.gov.ru/ru/document/?id_4=13539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0936D-9001-455D-91A5-C0BB797BE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1088</Words>
  <Characters>6206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2026-10-16T06:18:00Z</dcterms:created>
  <dcterms:modified xsi:type="dcterms:W3CDTF">2026-10-16T06:18:00Z</dcterms:modified>
</cp:coreProperties>
</file>