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3564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5" w:type="pct"/>
        <w:tblInd w:w="-318" w:type="dxa"/>
        <w:tblLayout w:type="fixed"/>
        <w:tblLook w:val="04A0" w:firstRow="1" w:lastRow="0" w:firstColumn="1" w:lastColumn="0" w:noHBand="0" w:noVBand="1"/>
      </w:tblPr>
      <w:tblGrid>
        <w:gridCol w:w="424"/>
        <w:gridCol w:w="1703"/>
        <w:gridCol w:w="1133"/>
        <w:gridCol w:w="1703"/>
        <w:gridCol w:w="1278"/>
        <w:gridCol w:w="991"/>
        <w:gridCol w:w="1561"/>
        <w:gridCol w:w="2269"/>
        <w:gridCol w:w="850"/>
        <w:gridCol w:w="991"/>
        <w:gridCol w:w="853"/>
        <w:gridCol w:w="850"/>
        <w:gridCol w:w="708"/>
        <w:gridCol w:w="779"/>
      </w:tblGrid>
      <w:tr w:rsidR="00911D85" w:rsidRPr="00D3738D" w:rsidTr="003C1D9F">
        <w:trPr>
          <w:trHeight w:val="402"/>
        </w:trPr>
        <w:tc>
          <w:tcPr>
            <w:tcW w:w="132" w:type="pct"/>
            <w:vMerge w:val="restart"/>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529" w:type="pct"/>
            <w:vMerge w:val="restart"/>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Код позиции</w:t>
            </w:r>
          </w:p>
        </w:tc>
        <w:tc>
          <w:tcPr>
            <w:tcW w:w="1719" w:type="pct"/>
            <w:gridSpan w:val="4"/>
            <w:tcBorders>
              <w:top w:val="single" w:sz="8" w:space="0" w:color="000000"/>
              <w:left w:val="nil"/>
              <w:bottom w:val="single" w:sz="8" w:space="0" w:color="auto"/>
              <w:right w:val="single" w:sz="8" w:space="0" w:color="000000"/>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Характеристики товара, работы, услуги</w:t>
            </w:r>
          </w:p>
        </w:tc>
        <w:tc>
          <w:tcPr>
            <w:tcW w:w="705" w:type="pct"/>
            <w:vMerge w:val="restart"/>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Обоснование характеристик</w:t>
            </w:r>
          </w:p>
        </w:tc>
        <w:tc>
          <w:tcPr>
            <w:tcW w:w="264" w:type="pct"/>
            <w:vMerge w:val="restart"/>
            <w:tcBorders>
              <w:top w:val="single" w:sz="8" w:space="0" w:color="000000"/>
              <w:left w:val="single" w:sz="8" w:space="0" w:color="auto"/>
              <w:bottom w:val="single" w:sz="8" w:space="0" w:color="000000"/>
              <w:right w:val="single" w:sz="8" w:space="0" w:color="auto"/>
            </w:tcBorders>
            <w:vAlign w:val="center"/>
            <w:hideMark/>
          </w:tcPr>
          <w:p w:rsidR="00911D85"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 xml:space="preserve">Количество </w:t>
            </w:r>
          </w:p>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(объем работы, услуги)</w:t>
            </w:r>
          </w:p>
        </w:tc>
        <w:tc>
          <w:tcPr>
            <w:tcW w:w="308" w:type="pct"/>
            <w:vMerge w:val="restart"/>
            <w:tcBorders>
              <w:top w:val="single" w:sz="8" w:space="0" w:color="000000"/>
              <w:left w:val="single" w:sz="8" w:space="0" w:color="auto"/>
              <w:bottom w:val="single" w:sz="8" w:space="0" w:color="000000"/>
              <w:right w:val="nil"/>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Единица измерения</w:t>
            </w:r>
          </w:p>
        </w:tc>
        <w:tc>
          <w:tcPr>
            <w:tcW w:w="265" w:type="pct"/>
            <w:vMerge w:val="restart"/>
            <w:tcBorders>
              <w:top w:val="single" w:sz="4" w:space="0" w:color="auto"/>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r w:rsidRPr="00D3738D">
              <w:rPr>
                <w:rFonts w:ascii="Times New Roman" w:eastAsia="Times New Roman" w:hAnsi="Times New Roman" w:cs="Times New Roman"/>
                <w:b/>
                <w:color w:val="000000"/>
                <w:sz w:val="16"/>
                <w:szCs w:val="16"/>
                <w:lang w:eastAsia="ru-RU"/>
              </w:rPr>
              <w:t>Страна происхождения Товара</w:t>
            </w: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tcBorders>
              <w:top w:val="single" w:sz="4" w:space="0" w:color="auto"/>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r w:rsidRPr="00D3738D">
              <w:rPr>
                <w:rFonts w:ascii="Times New Roman" w:eastAsia="Times New Roman" w:hAnsi="Times New Roman" w:cs="Times New Roman"/>
                <w:b/>
                <w:color w:val="000000"/>
                <w:sz w:val="16"/>
                <w:szCs w:val="16"/>
                <w:lang w:eastAsia="ru-RU"/>
              </w:rPr>
              <w:t>Ставка НДС%</w:t>
            </w: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tcBorders>
              <w:top w:val="single" w:sz="4" w:space="0" w:color="auto"/>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r w:rsidRPr="00D3738D">
              <w:rPr>
                <w:rFonts w:ascii="Times New Roman" w:eastAsia="Times New Roman" w:hAnsi="Times New Roman" w:cs="Times New Roman"/>
                <w:b/>
                <w:color w:val="000000"/>
                <w:sz w:val="16"/>
                <w:szCs w:val="16"/>
                <w:lang w:eastAsia="ru-RU"/>
              </w:rPr>
              <w:t>Цена за ед. без НДС</w:t>
            </w: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tc>
        <w:tc>
          <w:tcPr>
            <w:tcW w:w="242" w:type="pct"/>
            <w:vMerge w:val="restart"/>
            <w:tcBorders>
              <w:top w:val="single" w:sz="4" w:space="0" w:color="auto"/>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r w:rsidRPr="00D3738D">
              <w:rPr>
                <w:rFonts w:ascii="Times New Roman" w:eastAsia="Times New Roman" w:hAnsi="Times New Roman" w:cs="Times New Roman"/>
                <w:b/>
                <w:color w:val="000000"/>
                <w:sz w:val="16"/>
                <w:szCs w:val="16"/>
                <w:lang w:eastAsia="ru-RU"/>
              </w:rPr>
              <w:t>Сумма без НДС</w:t>
            </w: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b/>
                <w:color w:val="000000"/>
                <w:sz w:val="16"/>
                <w:szCs w:val="16"/>
                <w:lang w:eastAsia="ru-RU"/>
              </w:rPr>
            </w:pPr>
          </w:p>
        </w:tc>
      </w:tr>
      <w:tr w:rsidR="00911D85" w:rsidRPr="00D3738D" w:rsidTr="003C1D9F">
        <w:trPr>
          <w:trHeight w:val="402"/>
        </w:trPr>
        <w:tc>
          <w:tcPr>
            <w:tcW w:w="132" w:type="pct"/>
            <w:vMerge/>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529" w:type="pct"/>
            <w:vMerge/>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529"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Наименование характеристики</w:t>
            </w:r>
          </w:p>
        </w:tc>
        <w:tc>
          <w:tcPr>
            <w:tcW w:w="397"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Значение характеристики</w:t>
            </w:r>
          </w:p>
        </w:tc>
        <w:tc>
          <w:tcPr>
            <w:tcW w:w="308"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Единица измерения характеристики</w:t>
            </w:r>
          </w:p>
        </w:tc>
        <w:tc>
          <w:tcPr>
            <w:tcW w:w="485"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b/>
                <w:bCs/>
                <w:color w:val="000000"/>
                <w:sz w:val="16"/>
                <w:szCs w:val="16"/>
                <w:lang w:eastAsia="ru-RU"/>
              </w:rPr>
            </w:pPr>
            <w:r w:rsidRPr="00D3738D">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705" w:type="pct"/>
            <w:vMerge/>
            <w:tcBorders>
              <w:top w:val="single" w:sz="8" w:space="0" w:color="000000"/>
              <w:left w:val="single" w:sz="8" w:space="0" w:color="auto"/>
              <w:bottom w:val="single" w:sz="4"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264" w:type="pct"/>
            <w:vMerge/>
            <w:tcBorders>
              <w:top w:val="single" w:sz="8" w:space="0" w:color="000000"/>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308" w:type="pct"/>
            <w:vMerge/>
            <w:tcBorders>
              <w:top w:val="single" w:sz="8" w:space="0" w:color="000000"/>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b/>
                <w:bCs/>
                <w:color w:val="000000"/>
                <w:sz w:val="16"/>
                <w:szCs w:val="16"/>
                <w:lang w:eastAsia="ru-RU"/>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804"/>
        </w:trPr>
        <w:tc>
          <w:tcPr>
            <w:tcW w:w="132" w:type="pct"/>
            <w:vMerge w:val="restart"/>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1</w:t>
            </w:r>
          </w:p>
        </w:tc>
        <w:tc>
          <w:tcPr>
            <w:tcW w:w="529" w:type="pct"/>
            <w:vMerge w:val="restart"/>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Гель противоожоговый, стерильный</w:t>
            </w:r>
          </w:p>
        </w:tc>
        <w:tc>
          <w:tcPr>
            <w:tcW w:w="352" w:type="pct"/>
            <w:vMerge w:val="restart"/>
            <w:tcBorders>
              <w:top w:val="nil"/>
              <w:left w:val="single" w:sz="8" w:space="0" w:color="auto"/>
              <w:bottom w:val="single" w:sz="8" w:space="0" w:color="000000"/>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21.20.23.199-00000017*</w:t>
            </w:r>
          </w:p>
        </w:tc>
        <w:tc>
          <w:tcPr>
            <w:tcW w:w="529"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Форма выпуска</w:t>
            </w:r>
          </w:p>
        </w:tc>
        <w:tc>
          <w:tcPr>
            <w:tcW w:w="397"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гель</w:t>
            </w:r>
          </w:p>
        </w:tc>
        <w:tc>
          <w:tcPr>
            <w:tcW w:w="308"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Обусловлено потребностью ЛПУ</w:t>
            </w:r>
          </w:p>
        </w:tc>
        <w:tc>
          <w:tcPr>
            <w:tcW w:w="264" w:type="pct"/>
            <w:vMerge w:val="restart"/>
            <w:tcBorders>
              <w:top w:val="nil"/>
              <w:left w:val="single" w:sz="4"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33</w:t>
            </w:r>
          </w:p>
        </w:tc>
        <w:tc>
          <w:tcPr>
            <w:tcW w:w="308" w:type="pct"/>
            <w:vMerge w:val="restart"/>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штука</w:t>
            </w:r>
          </w:p>
        </w:tc>
        <w:tc>
          <w:tcPr>
            <w:tcW w:w="265"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64"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42"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Гель для ран антибактериальный стерильный</w:t>
            </w:r>
          </w:p>
        </w:tc>
        <w:tc>
          <w:tcPr>
            <w:tcW w:w="397"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single" w:sz="4" w:space="0" w:color="auto"/>
              <w:left w:val="single" w:sz="4" w:space="0" w:color="auto"/>
              <w:bottom w:val="single" w:sz="4" w:space="0" w:color="auto"/>
              <w:right w:val="single" w:sz="4"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Обычно разрабатывается для защиты от инфекций, минимизации травм и повреждений кожи, облегчения боли, увлажнения и охлаждения области ожога, а также для предотвращения его распространения.</w:t>
            </w:r>
          </w:p>
        </w:tc>
        <w:tc>
          <w:tcPr>
            <w:tcW w:w="264" w:type="pct"/>
            <w:vMerge/>
            <w:tcBorders>
              <w:top w:val="nil"/>
              <w:left w:val="single" w:sz="4"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Быстро и эффективно удаляет биопленку из раны, способствует грануляции и эпителизации раны</w:t>
            </w:r>
          </w:p>
        </w:tc>
        <w:tc>
          <w:tcPr>
            <w:tcW w:w="397" w:type="pct"/>
            <w:tcBorders>
              <w:top w:val="single" w:sz="4" w:space="0" w:color="auto"/>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single" w:sz="4" w:space="0" w:color="auto"/>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Оптимально подготавливает рану к заживлению.</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bCs/>
                <w:color w:val="000000"/>
                <w:sz w:val="16"/>
                <w:szCs w:val="16"/>
                <w:lang w:eastAsia="ru-RU"/>
              </w:rPr>
              <w:t>Абсорбирование раневого запаха и отделяемого из раны</w:t>
            </w:r>
          </w:p>
        </w:tc>
        <w:tc>
          <w:tcPr>
            <w:tcW w:w="397"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Для удаления в ране микроорганизмов и продуктов их жизнедеятельности, некротических масс и фибринозных налетов</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xml:space="preserve">Содержание сурфактанта, </w:t>
            </w:r>
          </w:p>
        </w:tc>
        <w:tc>
          <w:tcPr>
            <w:tcW w:w="397"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0,1</w:t>
            </w:r>
          </w:p>
        </w:tc>
        <w:tc>
          <w:tcPr>
            <w:tcW w:w="308"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w:t>
            </w:r>
          </w:p>
        </w:tc>
        <w:tc>
          <w:tcPr>
            <w:tcW w:w="48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vMerge w:val="restart"/>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Поверхностно-активное вещество(сурфактант) очищает раны, антисептик(полигексанид) обладает широким противомикробным действием</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xml:space="preserve"> Содержание полиаминопропила бигуанида (полигексанида)</w:t>
            </w:r>
          </w:p>
        </w:tc>
        <w:tc>
          <w:tcPr>
            <w:tcW w:w="397"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≥0,1</w:t>
            </w:r>
          </w:p>
        </w:tc>
        <w:tc>
          <w:tcPr>
            <w:tcW w:w="308"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w:t>
            </w:r>
          </w:p>
        </w:tc>
        <w:tc>
          <w:tcPr>
            <w:tcW w:w="48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После вскрытия возможно использовать средство в течение 8 недель</w:t>
            </w:r>
          </w:p>
        </w:tc>
        <w:tc>
          <w:tcPr>
            <w:tcW w:w="397"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Для длительного использования вскрытого флакона</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Объем геля</w:t>
            </w:r>
          </w:p>
        </w:tc>
        <w:tc>
          <w:tcPr>
            <w:tcW w:w="397"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30</w:t>
            </w:r>
          </w:p>
        </w:tc>
        <w:tc>
          <w:tcPr>
            <w:tcW w:w="308"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миллилитр</w:t>
            </w:r>
          </w:p>
        </w:tc>
        <w:tc>
          <w:tcPr>
            <w:tcW w:w="485" w:type="pct"/>
            <w:tcBorders>
              <w:top w:val="nil"/>
              <w:left w:val="nil"/>
              <w:bottom w:val="single" w:sz="4" w:space="0" w:color="auto"/>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tcBorders>
              <w:top w:val="nil"/>
              <w:left w:val="nil"/>
              <w:bottom w:val="single" w:sz="8" w:space="0" w:color="auto"/>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Возможность использования в индивидуальном порядке для обработки ран пациента</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520"/>
        </w:trPr>
        <w:tc>
          <w:tcPr>
            <w:tcW w:w="132" w:type="pct"/>
            <w:vMerge w:val="restart"/>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2</w:t>
            </w:r>
          </w:p>
        </w:tc>
        <w:tc>
          <w:tcPr>
            <w:tcW w:w="529" w:type="pct"/>
            <w:vMerge w:val="restart"/>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Раствор для промывания ран антибактериальный, стерильный</w:t>
            </w:r>
          </w:p>
        </w:tc>
        <w:tc>
          <w:tcPr>
            <w:tcW w:w="352" w:type="pct"/>
            <w:vMerge w:val="restart"/>
            <w:tcBorders>
              <w:top w:val="nil"/>
              <w:left w:val="single" w:sz="8" w:space="0" w:color="auto"/>
              <w:bottom w:val="single" w:sz="8" w:space="0" w:color="000000"/>
              <w:right w:val="single" w:sz="4"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21.20.23.199-00000019</w:t>
            </w:r>
            <w:r>
              <w:rPr>
                <w:rFonts w:ascii="Times New Roman" w:eastAsia="Times New Roman" w:hAnsi="Times New Roman" w:cs="Times New Roman"/>
                <w:color w:val="000000"/>
                <w:sz w:val="16"/>
                <w:szCs w:val="16"/>
                <w:lang w:eastAsia="ru-RU"/>
              </w:rPr>
              <w:t>*</w:t>
            </w:r>
          </w:p>
        </w:tc>
        <w:tc>
          <w:tcPr>
            <w:tcW w:w="529" w:type="pct"/>
            <w:tcBorders>
              <w:top w:val="single" w:sz="4" w:space="0" w:color="auto"/>
              <w:left w:val="single" w:sz="4" w:space="0" w:color="auto"/>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Форма выпуска</w:t>
            </w:r>
          </w:p>
        </w:tc>
        <w:tc>
          <w:tcPr>
            <w:tcW w:w="397" w:type="pct"/>
            <w:tcBorders>
              <w:top w:val="single" w:sz="4" w:space="0" w:color="auto"/>
              <w:left w:val="single" w:sz="4" w:space="0" w:color="auto"/>
              <w:right w:val="single" w:sz="4"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жидкость</w:t>
            </w:r>
          </w:p>
        </w:tc>
        <w:tc>
          <w:tcPr>
            <w:tcW w:w="308" w:type="pct"/>
            <w:tcBorders>
              <w:top w:val="single" w:sz="4" w:space="0" w:color="auto"/>
              <w:left w:val="single" w:sz="4" w:space="0" w:color="auto"/>
              <w:right w:val="single" w:sz="4"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single" w:sz="4" w:space="0" w:color="auto"/>
              <w:right w:val="single" w:sz="4"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single" w:sz="4" w:space="0" w:color="auto"/>
              <w:bottom w:val="single" w:sz="4"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Обусловлено потребностью ЛПУ</w:t>
            </w:r>
          </w:p>
        </w:tc>
        <w:tc>
          <w:tcPr>
            <w:tcW w:w="264" w:type="pct"/>
            <w:vMerge w:val="restart"/>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308" w:type="pct"/>
            <w:vMerge w:val="restart"/>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штука</w:t>
            </w:r>
          </w:p>
        </w:tc>
        <w:tc>
          <w:tcPr>
            <w:tcW w:w="265"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64"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c>
          <w:tcPr>
            <w:tcW w:w="242" w:type="pct"/>
            <w:vMerge w:val="restart"/>
            <w:tcBorders>
              <w:top w:val="nil"/>
              <w:left w:val="single" w:sz="4" w:space="0" w:color="auto"/>
              <w:bottom w:val="single" w:sz="4" w:space="0" w:color="000000"/>
              <w:right w:val="single" w:sz="4" w:space="0" w:color="auto"/>
            </w:tcBorders>
            <w:noWrap/>
            <w:vAlign w:val="bottom"/>
            <w:hideMark/>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w:t>
            </w: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Раствор для ран антибактериальный стерильный</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Стерильный раствор, в состав которого входит антибактериальное вещество [например, полигексанид (РНМВ)], предназначенный для использования при промывании, очищении/увлажнении и деконтаминировании раны или ожога для аутолитической санации раневой полости, а также для увлажнения/смазывания повязки на ране. Может использоваться для острых или хронических ран, включая ожоги первой и второй степени.</w:t>
            </w: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Быстро и эффективно удаляет биопленку из раны, способствует грануляции и эпителизации раны.</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Оптимально подготавливает рану к заживлению.</w:t>
            </w: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bCs/>
                <w:color w:val="000000"/>
                <w:sz w:val="16"/>
                <w:szCs w:val="16"/>
                <w:lang w:eastAsia="ru-RU"/>
              </w:rPr>
              <w:t>Абсорбирование раневого запаха и отделяемого из раны</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Для удаления в ране микроорганизмов и продуктов их жизнедеятельности, некротических масс и фибринозных налетов</w:t>
            </w: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xml:space="preserve">Содержание сурфактанта, </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0,1</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w:t>
            </w: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vMerge w:val="restart"/>
            <w:tcBorders>
              <w:top w:val="nil"/>
              <w:left w:val="nil"/>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Поверхностно-активное вещество(сурфактант) очищает раны, антисептик(полигексанид) обладает широким противомикробным действием</w:t>
            </w: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xml:space="preserve"> Содержание полиаминопропила бигуанида (полигексанида)</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≥0,1</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w:t>
            </w: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vMerge/>
            <w:tcBorders>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После вскрытия возможно использовать средство в течение 8 недель</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05" w:type="pct"/>
            <w:tcBorders>
              <w:top w:val="nil"/>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Для длительного использования вскрытого флакона</w:t>
            </w:r>
          </w:p>
        </w:tc>
        <w:tc>
          <w:tcPr>
            <w:tcW w:w="264" w:type="pct"/>
            <w:vMerge/>
            <w:tcBorders>
              <w:top w:val="nil"/>
              <w:left w:val="single" w:sz="8" w:space="0" w:color="auto"/>
              <w:bottom w:val="single" w:sz="8" w:space="0" w:color="000000"/>
              <w:right w:val="single" w:sz="8"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hideMark/>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r w:rsidR="00911D85" w:rsidRPr="00D3738D" w:rsidTr="003C1D9F">
        <w:trPr>
          <w:trHeight w:val="402"/>
        </w:trPr>
        <w:tc>
          <w:tcPr>
            <w:tcW w:w="13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529"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r w:rsidRPr="00D3738D">
              <w:rPr>
                <w:rFonts w:ascii="Times New Roman" w:hAnsi="Times New Roman" w:cs="Times New Roman"/>
                <w:color w:val="000000"/>
                <w:sz w:val="16"/>
                <w:szCs w:val="16"/>
              </w:rPr>
              <w:t>Объем раствора</w:t>
            </w:r>
          </w:p>
        </w:tc>
        <w:tc>
          <w:tcPr>
            <w:tcW w:w="397"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 350</w:t>
            </w:r>
          </w:p>
        </w:tc>
        <w:tc>
          <w:tcPr>
            <w:tcW w:w="308"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миллилитр</w:t>
            </w:r>
          </w:p>
        </w:tc>
        <w:tc>
          <w:tcPr>
            <w:tcW w:w="485" w:type="pct"/>
            <w:tcBorders>
              <w:top w:val="single" w:sz="4" w:space="0" w:color="auto"/>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05" w:type="pct"/>
            <w:tcBorders>
              <w:top w:val="nil"/>
              <w:left w:val="nil"/>
              <w:bottom w:val="single" w:sz="8" w:space="0" w:color="auto"/>
              <w:right w:val="single" w:sz="8" w:space="0" w:color="auto"/>
            </w:tcBorders>
            <w:vAlign w:val="center"/>
          </w:tcPr>
          <w:p w:rsidR="00911D85" w:rsidRPr="00D3738D" w:rsidRDefault="00911D85" w:rsidP="003C1D9F">
            <w:pPr>
              <w:spacing w:after="0" w:line="240" w:lineRule="auto"/>
              <w:jc w:val="center"/>
              <w:rPr>
                <w:rFonts w:ascii="Times New Roman" w:eastAsia="Times New Roman" w:hAnsi="Times New Roman" w:cs="Times New Roman"/>
                <w:color w:val="000000"/>
                <w:sz w:val="16"/>
                <w:szCs w:val="16"/>
                <w:lang w:eastAsia="ru-RU"/>
              </w:rPr>
            </w:pPr>
            <w:r w:rsidRPr="00D3738D">
              <w:rPr>
                <w:rFonts w:ascii="Times New Roman" w:eastAsia="Times New Roman" w:hAnsi="Times New Roman" w:cs="Times New Roman"/>
                <w:color w:val="000000"/>
                <w:sz w:val="16"/>
                <w:szCs w:val="16"/>
                <w:lang w:eastAsia="ru-RU"/>
              </w:rPr>
              <w:t>Возможность использования для обработки ран больших площадей</w:t>
            </w:r>
          </w:p>
        </w:tc>
        <w:tc>
          <w:tcPr>
            <w:tcW w:w="264" w:type="pct"/>
            <w:vMerge/>
            <w:tcBorders>
              <w:top w:val="nil"/>
              <w:left w:val="single" w:sz="8" w:space="0" w:color="auto"/>
              <w:bottom w:val="single" w:sz="8" w:space="0" w:color="000000"/>
              <w:right w:val="single" w:sz="8"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8" w:space="0" w:color="auto"/>
              <w:bottom w:val="single" w:sz="8" w:space="0" w:color="000000"/>
              <w:right w:val="nil"/>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c>
          <w:tcPr>
            <w:tcW w:w="242" w:type="pct"/>
            <w:vMerge/>
            <w:tcBorders>
              <w:top w:val="nil"/>
              <w:left w:val="single" w:sz="4" w:space="0" w:color="auto"/>
              <w:bottom w:val="single" w:sz="4" w:space="0" w:color="000000"/>
              <w:right w:val="single" w:sz="4" w:space="0" w:color="auto"/>
            </w:tcBorders>
            <w:vAlign w:val="center"/>
          </w:tcPr>
          <w:p w:rsidR="00911D85" w:rsidRPr="00D3738D" w:rsidRDefault="00911D85" w:rsidP="003C1D9F">
            <w:pPr>
              <w:spacing w:after="0" w:line="240" w:lineRule="auto"/>
              <w:rPr>
                <w:rFonts w:ascii="Times New Roman" w:eastAsia="Times New Roman" w:hAnsi="Times New Roman" w:cs="Times New Roman"/>
                <w:color w:val="000000"/>
                <w:sz w:val="16"/>
                <w:szCs w:val="16"/>
                <w:lang w:eastAsia="ru-RU"/>
              </w:rPr>
            </w:pPr>
          </w:p>
        </w:tc>
      </w:tr>
    </w:tbl>
    <w:p w:rsidR="00911D85" w:rsidRDefault="00911D85" w:rsidP="00911D85">
      <w:pPr>
        <w:rPr>
          <w:rFonts w:ascii="Times New Roman" w:hAnsi="Times New Roman" w:cs="Times New Roman"/>
          <w:b/>
          <w:bCs/>
          <w:i/>
        </w:rPr>
      </w:pPr>
    </w:p>
    <w:p w:rsidR="00911D85" w:rsidRPr="00481E3F" w:rsidRDefault="00911D85" w:rsidP="00911D85">
      <w:pPr>
        <w:rPr>
          <w:rFonts w:ascii="Times New Roman" w:hAnsi="Times New Roman" w:cs="Times New Roman"/>
          <w:b/>
          <w:bCs/>
          <w:i/>
        </w:rPr>
      </w:pPr>
      <w:r>
        <w:rPr>
          <w:rFonts w:ascii="Times New Roman" w:hAnsi="Times New Roman" w:cs="Times New Roman"/>
          <w:b/>
          <w:bCs/>
          <w:i/>
        </w:rPr>
        <w:t>*</w:t>
      </w:r>
      <w:r w:rsidRPr="00481E3F">
        <w:rPr>
          <w:rFonts w:ascii="Times New Roman" w:hAnsi="Times New Roman" w:cs="Times New Roman"/>
          <w:b/>
          <w:bCs/>
          <w:i/>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911D85" w:rsidRDefault="00911D85" w:rsidP="00911D8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911D8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92" w:rsidRDefault="00831C92">
      <w:pPr>
        <w:spacing w:after="0" w:line="240" w:lineRule="auto"/>
      </w:pPr>
      <w:r>
        <w:separator/>
      </w:r>
    </w:p>
  </w:endnote>
  <w:endnote w:type="continuationSeparator" w:id="0">
    <w:p w:rsidR="00831C92" w:rsidRDefault="0083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5649" w:rsidRDefault="00A3564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3564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3564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3564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3564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3564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11D8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92" w:rsidRDefault="00831C92">
      <w:pPr>
        <w:spacing w:after="0" w:line="240" w:lineRule="auto"/>
      </w:pPr>
      <w:r>
        <w:separator/>
      </w:r>
    </w:p>
  </w:footnote>
  <w:footnote w:type="continuationSeparator" w:id="0">
    <w:p w:rsidR="00831C92" w:rsidRDefault="00831C9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5649" w:rsidRDefault="00A3564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5649" w:rsidRDefault="00A3564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5649" w:rsidRDefault="00A3564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1C92"/>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1D85"/>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5649"/>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E33C-9801-47A8-AC86-7D8D0AEB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