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05-07/1650</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0E6283">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0150"/>
        <w:gridCol w:w="4692"/>
      </w:tblGrid>
      <w:tr w:rsidR="00C14573" w:rsidRPr="008252D7" w:rsidTr="00005B0E">
        <w:tc>
          <w:tcPr>
            <w:tcW w:w="0" w:type="auto"/>
          </w:tcPr>
          <w:p w:rsidR="00C14573" w:rsidRPr="00FF12AF" w:rsidRDefault="00C14573" w:rsidP="000E4ADD">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0E4ADD">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0E4ADD">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 для отделения лабораторной диагностики</w:t>
            </w:r>
            <w:r w:rsidRPr="003D1995">
              <w:rPr>
                <w:rFonts w:ascii="Times New Roman" w:hAnsi="Times New Roman" w:cs="Times New Roman"/>
                <w:b/>
                <w:sz w:val="24"/>
                <w:szCs w:val="24"/>
              </w:rPr>
              <w:fldChar w:fldCharType="end"/>
            </w:r>
            <w:bookmarkEnd w:id="4"/>
          </w:p>
        </w:tc>
      </w:tr>
      <w:tr w:rsidR="00C14573" w:rsidRPr="008252D7" w:rsidTr="00005B0E">
        <w:tc>
          <w:tcPr>
            <w:tcW w:w="0" w:type="auto"/>
          </w:tcPr>
          <w:p w:rsidR="00C14573" w:rsidRPr="00FF12AF" w:rsidRDefault="00C14573" w:rsidP="000E4ADD">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0E4ADD">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0E4ADD">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005B0E">
        <w:tc>
          <w:tcPr>
            <w:tcW w:w="0" w:type="auto"/>
          </w:tcPr>
          <w:p w:rsidR="00C14573" w:rsidRPr="00FF12AF" w:rsidRDefault="00C14573" w:rsidP="000E4ADD">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0E4ADD">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0E4ADD">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005B0E">
        <w:tc>
          <w:tcPr>
            <w:tcW w:w="0" w:type="auto"/>
          </w:tcPr>
          <w:p w:rsidR="00C14573" w:rsidRPr="00FF12AF" w:rsidRDefault="00C14573" w:rsidP="000E4ADD">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0E4ADD">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0E4ADD">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005B0E">
        <w:tc>
          <w:tcPr>
            <w:tcW w:w="0" w:type="auto"/>
          </w:tcPr>
          <w:p w:rsidR="00C14573" w:rsidRPr="00FF12AF" w:rsidRDefault="00C14573" w:rsidP="000E4ADD">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0E4ADD">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0E4ADD">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95 (девяноста пяти) календарных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005B0E">
        <w:tc>
          <w:tcPr>
            <w:tcW w:w="0" w:type="auto"/>
          </w:tcPr>
          <w:p w:rsidR="00C14573" w:rsidRPr="00FF12AF" w:rsidRDefault="00C14573" w:rsidP="000E4ADD">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0E4ADD">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0E4ADD">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В течение 95 (девяноста пяти) календарных дней с момента заключения Контракта
                <w:br/>
                Допускается досрочная поставка партиями.
                <w:br/>
              </w:t>
            </w:r>
            <w:r w:rsidRPr="00C15FD9">
              <w:rPr>
                <w:rFonts w:ascii="Times New Roman" w:hAnsi="Times New Roman" w:cs="Times New Roman"/>
                <w:noProof/>
                <w:sz w:val="24"/>
                <w:szCs w:val="24"/>
              </w:rPr>
              <w:t>
                <w:br/>
                Допускается досрочная поставка партиями.
              </w: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end"/>
            </w:r>
            <w:bookmarkEnd w:id="9"/>
          </w:p>
        </w:tc>
      </w:tr>
      <w:tr w:rsidR="00C14573" w:rsidRPr="008252D7" w:rsidTr="00005B0E">
        <w:tc>
          <w:tcPr>
            <w:tcW w:w="0" w:type="auto"/>
          </w:tcPr>
          <w:p w:rsidR="00C14573" w:rsidRPr="00FF12AF" w:rsidRDefault="00C14573" w:rsidP="000E4ADD">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0E4ADD">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0E4ADD">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005B0E">
        <w:tc>
          <w:tcPr>
            <w:tcW w:w="0" w:type="auto"/>
          </w:tcPr>
          <w:p w:rsidR="00C14573" w:rsidRPr="00FF12AF" w:rsidRDefault="00C14573" w:rsidP="000E4ADD">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0E4ADD">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0E4ADD">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005B0E">
        <w:tc>
          <w:tcPr>
            <w:tcW w:w="0" w:type="auto"/>
          </w:tcPr>
          <w:p w:rsidR="00C14573" w:rsidRPr="00FF12AF" w:rsidRDefault="00C14573" w:rsidP="000E4ADD">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0E4ADD">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0E4ADD">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4х месяцев</w:t>
            </w:r>
            <w:r w:rsidRPr="00C15FD9">
              <w:rPr>
                <w:rFonts w:ascii="Times New Roman" w:hAnsi="Times New Roman" w:cs="Times New Roman"/>
                <w:noProof/>
                <w:sz w:val="24"/>
                <w:szCs w:val="24"/>
              </w:rPr>
              <w:fldChar w:fldCharType="end"/>
            </w:r>
            <w:bookmarkEnd w:id="12"/>
          </w:p>
        </w:tc>
      </w:tr>
      <w:tr w:rsidR="00C14573" w:rsidRPr="008252D7" w:rsidTr="00005B0E">
        <w:tc>
          <w:tcPr>
            <w:tcW w:w="0" w:type="auto"/>
          </w:tcPr>
          <w:p w:rsidR="00C14573" w:rsidRPr="00FF12AF" w:rsidRDefault="00C14573" w:rsidP="000E4ADD">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0E4ADD">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0E4ADD">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005B0E">
        <w:tc>
          <w:tcPr>
            <w:tcW w:w="0" w:type="auto"/>
          </w:tcPr>
          <w:p w:rsidR="00C14573" w:rsidRPr="00FF12AF" w:rsidRDefault="00C14573" w:rsidP="000E4ADD">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0E4ADD">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0E4ADD">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005B0E">
        <w:tc>
          <w:tcPr>
            <w:tcW w:w="0" w:type="auto"/>
          </w:tcPr>
          <w:p w:rsidR="00C14573" w:rsidRPr="00FF12AF" w:rsidRDefault="00C14573" w:rsidP="000E4ADD">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0E4ADD">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0E4ADD">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005B0E">
        <w:trPr>
          <w:trHeight w:val="848"/>
        </w:trPr>
        <w:tc>
          <w:tcPr>
            <w:tcW w:w="0" w:type="auto"/>
          </w:tcPr>
          <w:p w:rsidR="00C14573" w:rsidRPr="00FF12AF" w:rsidRDefault="00C14573" w:rsidP="000E4ADD">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0E4ADD">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005B0E">
        <w:tc>
          <w:tcPr>
            <w:tcW w:w="0" w:type="auto"/>
          </w:tcPr>
          <w:p w:rsidR="00C14573" w:rsidRPr="00FF12AF" w:rsidRDefault="00C14573" w:rsidP="000E4ADD">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0E4ADD">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0E4ADD">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0E4ADD">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005B0E">
        <w:tc>
          <w:tcPr>
            <w:tcW w:w="0" w:type="auto"/>
          </w:tcPr>
          <w:p w:rsidR="00C14573" w:rsidRPr="00FF12AF" w:rsidRDefault="00C14573" w:rsidP="000E4ADD">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0E4ADD">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0E4ADD">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005B0E">
        <w:tc>
          <w:tcPr>
            <w:tcW w:w="0" w:type="auto"/>
          </w:tcPr>
          <w:p w:rsidR="00C14573" w:rsidRPr="00FF12AF" w:rsidRDefault="00C14573" w:rsidP="000E4ADD">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0E4ADD">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0E4ADD">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005B0E">
        <w:tc>
          <w:tcPr>
            <w:tcW w:w="0" w:type="auto"/>
          </w:tcPr>
          <w:p w:rsidR="00C14573" w:rsidRPr="00FF12AF" w:rsidRDefault="00C14573" w:rsidP="000E4ADD">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0E4ADD">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0E4ADD">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5841" w:type="dxa"/>
        <w:tblInd w:w="108" w:type="dxa"/>
        <w:tblLook w:val="04A0" w:firstRow="1" w:lastRow="0" w:firstColumn="1" w:lastColumn="0" w:noHBand="0" w:noVBand="1"/>
      </w:tblPr>
      <w:tblGrid>
        <w:gridCol w:w="362"/>
        <w:gridCol w:w="1360"/>
        <w:gridCol w:w="666"/>
        <w:gridCol w:w="1032"/>
        <w:gridCol w:w="917"/>
        <w:gridCol w:w="1356"/>
        <w:gridCol w:w="1474"/>
        <w:gridCol w:w="1500"/>
        <w:gridCol w:w="917"/>
        <w:gridCol w:w="1338"/>
        <w:gridCol w:w="1199"/>
        <w:gridCol w:w="1242"/>
        <w:gridCol w:w="826"/>
        <w:gridCol w:w="826"/>
        <w:gridCol w:w="826"/>
      </w:tblGrid>
      <w:tr w:rsidR="000E4ADD" w:rsidRPr="000E4ADD" w:rsidTr="00EF439B">
        <w:trPr>
          <w:trHeight w:val="402"/>
        </w:trPr>
        <w:tc>
          <w:tcPr>
            <w:tcW w:w="36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w:t>
            </w:r>
          </w:p>
        </w:tc>
        <w:tc>
          <w:tcPr>
            <w:tcW w:w="13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E4ADD" w:rsidRPr="000E4ADD" w:rsidRDefault="000E4ADD" w:rsidP="00EF439B">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Наименование товара, количество</w:t>
            </w:r>
          </w:p>
        </w:tc>
        <w:tc>
          <w:tcPr>
            <w:tcW w:w="6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Кол-во товара</w:t>
            </w:r>
          </w:p>
        </w:tc>
        <w:tc>
          <w:tcPr>
            <w:tcW w:w="101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ОКПД 2/ КТРУ</w:t>
            </w:r>
          </w:p>
        </w:tc>
        <w:tc>
          <w:tcPr>
            <w:tcW w:w="905" w:type="dxa"/>
            <w:tcBorders>
              <w:top w:val="single" w:sz="8" w:space="0" w:color="auto"/>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Единица измерения</w:t>
            </w:r>
          </w:p>
        </w:tc>
        <w:tc>
          <w:tcPr>
            <w:tcW w:w="133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Тип характеристики</w:t>
            </w:r>
          </w:p>
        </w:tc>
        <w:tc>
          <w:tcPr>
            <w:tcW w:w="14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Функциональные, технические, качественные, эксплуатационные характеристики товара (единицы измерения</w:t>
            </w:r>
            <w:r w:rsidRPr="000E4ADD">
              <w:rPr>
                <w:rFonts w:ascii="Times New Roman" w:eastAsia="Times New Roman" w:hAnsi="Times New Roman" w:cs="Times New Roman"/>
                <w:b/>
                <w:bCs/>
                <w:strike/>
                <w:color w:val="000000"/>
                <w:sz w:val="16"/>
                <w:szCs w:val="16"/>
                <w:lang w:eastAsia="ru-RU"/>
              </w:rPr>
              <w:t>)</w:t>
            </w:r>
          </w:p>
        </w:tc>
        <w:tc>
          <w:tcPr>
            <w:tcW w:w="14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E4ADD" w:rsidRPr="000E4ADD" w:rsidRDefault="000E4ADD" w:rsidP="00EF439B">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Значения характеристик товара</w:t>
            </w:r>
          </w:p>
        </w:tc>
        <w:tc>
          <w:tcPr>
            <w:tcW w:w="9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Единица измерения значения</w:t>
            </w:r>
          </w:p>
        </w:tc>
        <w:tc>
          <w:tcPr>
            <w:tcW w:w="131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Обоснование дополнительных характеристик</w:t>
            </w:r>
          </w:p>
        </w:tc>
        <w:tc>
          <w:tcPr>
            <w:tcW w:w="1183"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0E4ADD" w:rsidRPr="000E4ADD" w:rsidRDefault="000E4ADD" w:rsidP="00EF439B">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 xml:space="preserve">Инструкция заказчика </w:t>
            </w:r>
          </w:p>
        </w:tc>
        <w:tc>
          <w:tcPr>
            <w:tcW w:w="12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Страна происхождения Товара</w:t>
            </w:r>
          </w:p>
        </w:tc>
        <w:tc>
          <w:tcPr>
            <w:tcW w:w="8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Ставка НДС%</w:t>
            </w:r>
          </w:p>
        </w:tc>
        <w:tc>
          <w:tcPr>
            <w:tcW w:w="8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Цена за ед. без НДС</w:t>
            </w:r>
          </w:p>
        </w:tc>
        <w:tc>
          <w:tcPr>
            <w:tcW w:w="8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Сумма без НДС</w:t>
            </w:r>
          </w:p>
        </w:tc>
      </w:tr>
      <w:tr w:rsidR="000E4ADD" w:rsidRPr="000E4ADD" w:rsidTr="00EF439B">
        <w:trPr>
          <w:trHeight w:val="402"/>
        </w:trPr>
        <w:tc>
          <w:tcPr>
            <w:tcW w:w="362"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1343"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659"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1019"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905"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Товара</w:t>
            </w:r>
          </w:p>
        </w:tc>
        <w:tc>
          <w:tcPr>
            <w:tcW w:w="1337"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1453"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1479"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905"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1319"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1183" w:type="dxa"/>
            <w:vMerge/>
            <w:tcBorders>
              <w:top w:val="single" w:sz="8" w:space="0" w:color="auto"/>
              <w:left w:val="single" w:sz="8" w:space="0" w:color="auto"/>
              <w:bottom w:val="single" w:sz="8" w:space="0" w:color="000000"/>
              <w:right w:val="single" w:sz="4"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1225" w:type="dxa"/>
            <w:vMerge/>
            <w:tcBorders>
              <w:top w:val="single" w:sz="4" w:space="0" w:color="auto"/>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884" w:type="dxa"/>
            <w:vMerge/>
            <w:tcBorders>
              <w:top w:val="single" w:sz="4" w:space="0" w:color="auto"/>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884" w:type="dxa"/>
            <w:vMerge/>
            <w:tcBorders>
              <w:top w:val="single" w:sz="4" w:space="0" w:color="auto"/>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884" w:type="dxa"/>
            <w:vMerge/>
            <w:tcBorders>
              <w:top w:val="single" w:sz="4" w:space="0" w:color="auto"/>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r>
      <w:tr w:rsidR="000E4ADD" w:rsidRPr="000E4ADD" w:rsidTr="00EF439B">
        <w:trPr>
          <w:trHeight w:val="402"/>
        </w:trPr>
        <w:tc>
          <w:tcPr>
            <w:tcW w:w="362"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1343"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659"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1019"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905" w:type="dxa"/>
            <w:tcBorders>
              <w:top w:val="nil"/>
              <w:left w:val="nil"/>
              <w:bottom w:val="single" w:sz="8" w:space="0" w:color="auto"/>
              <w:right w:val="single" w:sz="8" w:space="0" w:color="auto"/>
            </w:tcBorders>
            <w:shd w:val="clear" w:color="auto" w:fill="auto"/>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1337"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1453"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1479"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905"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1319" w:type="dxa"/>
            <w:vMerge/>
            <w:tcBorders>
              <w:top w:val="single" w:sz="8" w:space="0" w:color="auto"/>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1183" w:type="dxa"/>
            <w:vMerge/>
            <w:tcBorders>
              <w:top w:val="single" w:sz="8" w:space="0" w:color="auto"/>
              <w:left w:val="single" w:sz="8" w:space="0" w:color="auto"/>
              <w:bottom w:val="single" w:sz="8" w:space="0" w:color="000000"/>
              <w:right w:val="single" w:sz="4"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1225" w:type="dxa"/>
            <w:vMerge/>
            <w:tcBorders>
              <w:top w:val="single" w:sz="4" w:space="0" w:color="auto"/>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884" w:type="dxa"/>
            <w:vMerge/>
            <w:tcBorders>
              <w:top w:val="single" w:sz="4" w:space="0" w:color="auto"/>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884" w:type="dxa"/>
            <w:vMerge/>
            <w:tcBorders>
              <w:top w:val="single" w:sz="4" w:space="0" w:color="auto"/>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c>
          <w:tcPr>
            <w:tcW w:w="884" w:type="dxa"/>
            <w:vMerge/>
            <w:tcBorders>
              <w:top w:val="single" w:sz="4" w:space="0" w:color="auto"/>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b/>
                <w:bCs/>
                <w:color w:val="000000"/>
                <w:sz w:val="16"/>
                <w:szCs w:val="16"/>
                <w:lang w:eastAsia="ru-RU"/>
              </w:rPr>
            </w:pPr>
          </w:p>
        </w:tc>
      </w:tr>
      <w:tr w:rsidR="000E4ADD" w:rsidRPr="000E4ADD" w:rsidTr="00EF439B">
        <w:trPr>
          <w:trHeight w:val="402"/>
        </w:trPr>
        <w:tc>
          <w:tcPr>
            <w:tcW w:w="362"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1</w:t>
            </w:r>
          </w:p>
        </w:tc>
        <w:tc>
          <w:tcPr>
            <w:tcW w:w="1343"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Изолят культуры бактерий/профиль чувствительности к антимикробным препаратам ИВД, набор</w:t>
            </w:r>
          </w:p>
        </w:tc>
        <w:tc>
          <w:tcPr>
            <w:tcW w:w="659"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20</w:t>
            </w:r>
          </w:p>
        </w:tc>
        <w:tc>
          <w:tcPr>
            <w:tcW w:w="1019"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20.59.52.195-00000875*</w:t>
            </w:r>
          </w:p>
        </w:tc>
        <w:tc>
          <w:tcPr>
            <w:tcW w:w="905"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Набор</w:t>
            </w: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Характеристики в соответствии с КТРУ:</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22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8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8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8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 </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Назначение</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Для анализаторов DL-96A, D2mini</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Дополнительные характеристики:</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Назначение</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Набор реагентов предназначен для проведения 10 тестов на идентификацию и определения чувствительности к антимикробным препаратам энтеробактерий и грамотрицательных палочек с отрицательным тестом на оксидазу, выделенных из клинического образца человека</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инструкции к анализатору</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Состав, фасовка набора</w:t>
            </w: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Тестовая карта - 10 шт.</w:t>
            </w:r>
          </w:p>
        </w:tc>
        <w:tc>
          <w:tcPr>
            <w:tcW w:w="905"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1183" w:type="dxa"/>
            <w:vMerge w:val="restart"/>
            <w:tcBorders>
              <w:top w:val="nil"/>
              <w:left w:val="single" w:sz="8" w:space="0" w:color="auto"/>
              <w:bottom w:val="single" w:sz="8" w:space="0" w:color="000000"/>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Дилюент (4,5 мл) - 10 флаконов.</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МН-бульон (9,0 мл) - 10 флаконов,</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Вспомогательный реагент VP А (2,0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Вспомогательный реагент VP В (2,0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Вспомогательный реагент РНЕ (2,0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Вспомогательный реагент IND (2,0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Оксидазный реагент (1,0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Парафиновое масло стерильное (9,0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Инструкция по применению - 1 шт.</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Тестовая карта</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96-луночная микропланшет из прозрачного пластика, заполненных биохимическими субстратами и антимикробными препаратами определенных концентраций</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Антимикробные препараты</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Ампициллин, Ампициллин-сульбактам, Амоксициллин-клавулановая кислота, Пиперациллин-тазобактам, Цефалексин, Цефепим, Цефокситин, Цефтазидим, Цефтазидим-авибактам, Цефуроксим, Эртапенем, Имипенем, Меропенем, Азтреонам, Амикацин, Тобрамицин, Гентамицин, Ципрофлоксацин, Тигециклин, Колистин, Нитрофурантоин, Триметоприм-сульфаметоксазол.</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Количественная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Кол-во исследований в наборе</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10</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Штука</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Совместимость</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DL96A,D2Mini, устройство автоматическое для отбора проб Scan-10</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2</w:t>
            </w:r>
          </w:p>
        </w:tc>
        <w:tc>
          <w:tcPr>
            <w:tcW w:w="1343"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xml:space="preserve">Изолят культуры дрожжей/профиль чувствительности к антимикробным препаратам ИВД, набор </w:t>
            </w:r>
          </w:p>
        </w:tc>
        <w:tc>
          <w:tcPr>
            <w:tcW w:w="659"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10</w:t>
            </w:r>
          </w:p>
        </w:tc>
        <w:tc>
          <w:tcPr>
            <w:tcW w:w="1019"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20.59.52.195-00000900*</w:t>
            </w:r>
          </w:p>
        </w:tc>
        <w:tc>
          <w:tcPr>
            <w:tcW w:w="905"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Набор</w:t>
            </w: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Характеристики в соответствии с КТРУ:</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22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8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8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8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 </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Количество выполняемых исследований</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10</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Штука</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 </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Назначение</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Для анализаторов DL-96A, D2mini</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Дополнительные характеристики:</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Назначение</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xml:space="preserve">Набор реагентов предназначен для проведения 10 тестов для идентификации грибов и определения чувствительности к противогрибковым препаратам, выделенных из клинического образца человека. </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инструкции к анализатору</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Состав, фасовка набора</w:t>
            </w: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Тестовая карта – 10 шт.</w:t>
            </w:r>
          </w:p>
        </w:tc>
        <w:tc>
          <w:tcPr>
            <w:tcW w:w="905"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1183" w:type="dxa"/>
            <w:vMerge w:val="restart"/>
            <w:tcBorders>
              <w:top w:val="nil"/>
              <w:left w:val="single" w:sz="8" w:space="0" w:color="auto"/>
              <w:bottom w:val="single" w:sz="8" w:space="0" w:color="000000"/>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Дилюент (3,0 мл) – 10 флаконов.</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Ассимиляционная жидкая среда (7,0 мл) – 10 флаконов.</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Дилюент AST (7,0 мл) – 10 флаконов.</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Инструкция по применению – 1 шт.</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Тестовая карта</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96-луночная микропланшет из прозрачного пластика, заполненных биохимическими субстратами и антимикробными препаратами определенных концентраций</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Антимикробные препараты</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Амфотерицин В, Итраконазол, Флуконазол, Вориконазол, Каспофунгин, Флуцитозин</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Совместимость</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DL96A,D2Mini, устройство автоматическое для отбора проб Scan-10</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3</w:t>
            </w:r>
          </w:p>
        </w:tc>
        <w:tc>
          <w:tcPr>
            <w:tcW w:w="1343"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Изолят культуры бактерий/профиль чувствительности к антимикробным препаратам ИВД, набор</w:t>
            </w:r>
          </w:p>
        </w:tc>
        <w:tc>
          <w:tcPr>
            <w:tcW w:w="659"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5</w:t>
            </w:r>
          </w:p>
        </w:tc>
        <w:tc>
          <w:tcPr>
            <w:tcW w:w="1019"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20.59.52.195-00000875*</w:t>
            </w:r>
          </w:p>
        </w:tc>
        <w:tc>
          <w:tcPr>
            <w:tcW w:w="905"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Набор</w:t>
            </w: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Характеристики в соответствии с КТРУ:</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22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8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8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8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 </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Назначение</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Для анализаторов DL-96A, D2mini</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Дополнительные характеристики:</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Назначение</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xml:space="preserve">Набор реагентов предназначен для проведения 10 тестов на идентификацию и определения чувствительности к антимикробным препаратам неферментирующих бактерий и положительных по тесту на оксидазу грамотрицательных палочек, выделенных из клинического образца человека. </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инструкции к анализатору</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Состав, фасовка набора</w:t>
            </w: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Тестовая карта – 10 шт.</w:t>
            </w:r>
          </w:p>
        </w:tc>
        <w:tc>
          <w:tcPr>
            <w:tcW w:w="905"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1183" w:type="dxa"/>
            <w:vMerge w:val="restart"/>
            <w:tcBorders>
              <w:top w:val="nil"/>
              <w:left w:val="single" w:sz="8" w:space="0" w:color="auto"/>
              <w:bottom w:val="single" w:sz="8" w:space="0" w:color="000000"/>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Дилюент (4,5 мл) – 10 флаконов.</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MH-бульон (9,0 мл) – 10 флаконов.</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Вспомогательный реагент NIT A (2,0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Вспомогательный реагент NIT B (2,0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Вспомогательный реагент IND (2,0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Оксидазный реагент (1,0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Парафиновое масло стерильное (9,0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Инструкция по применению – 1 шт.</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Тестовая карта</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96-луночная микропланшет из прозрачного пластика, заполненных биохимическими субстратами и антимикробными препаратами определенных концентраций</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Антимикробные препараты</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Пиперациллин, Пиперациллин-тазобактам, Тикарциллин, Тикарциллин-клавулановая кислота, Цефепим, Цефтазидим, Цефтазидим-авибактам, Имипенем, Меропенем, Азтреонам, Амикацин, Гентамицин, Тобрамицин, Ципрофлоксацин, Левофлоксацин, Колистин, Триметоприм + сульфаметаксозол.</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Количественная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Кол-во исследований в наборе</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10</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Штука</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Совместимость</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DL96 ,D2Mini, устройство автоматическое для отбора проб Scan-10</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4</w:t>
            </w:r>
          </w:p>
        </w:tc>
        <w:tc>
          <w:tcPr>
            <w:tcW w:w="1343"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Изолят культуры бактерий/профиль чувствительности к антимикробным препаратам ИВД, набор</w:t>
            </w:r>
          </w:p>
        </w:tc>
        <w:tc>
          <w:tcPr>
            <w:tcW w:w="659"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25</w:t>
            </w:r>
          </w:p>
        </w:tc>
        <w:tc>
          <w:tcPr>
            <w:tcW w:w="1019"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xml:space="preserve"> 20.59.52.195-00000875*</w:t>
            </w:r>
          </w:p>
        </w:tc>
        <w:tc>
          <w:tcPr>
            <w:tcW w:w="905"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Набор</w:t>
            </w: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Характеристики в соответствии с КТРУ:</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22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8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8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8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 </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Назначение</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Для анализаторов DL-96A, D2mini</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Дополнительные характеристики:</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Назначение</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Набор реагентов предназначен для проведения 10 тестов на идентификацию и определения чувствительности к антимикробным препаратам стафилококков и грамположительных кокков с положительным тестом на каталазу, выделенных из клинического образца человека</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инструкции к анализатору</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Состав, фасовка набора</w:t>
            </w: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Тестовая карта– 10 шт.</w:t>
            </w:r>
          </w:p>
        </w:tc>
        <w:tc>
          <w:tcPr>
            <w:tcW w:w="905"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vMerge w:val="restart"/>
            <w:tcBorders>
              <w:top w:val="nil"/>
              <w:left w:val="single" w:sz="8" w:space="0" w:color="auto"/>
              <w:bottom w:val="single" w:sz="8" w:space="0" w:color="000000"/>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1183" w:type="dxa"/>
            <w:vMerge w:val="restart"/>
            <w:tcBorders>
              <w:top w:val="nil"/>
              <w:left w:val="single" w:sz="8" w:space="0" w:color="auto"/>
              <w:bottom w:val="single" w:sz="8" w:space="0" w:color="000000"/>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Дилюент (4,5 мл) – 10 флаконов</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MH-бульон (9,0 мл) – 10 флаконов</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Вспомогательный реагент VP A (2,0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Вспомогательный реагент VP B (2,0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Вспомогательный реагент NIT A (2,0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Вспомогательный реагент NIT B (2,0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Вспомогательный реагент PYR (1,5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Парафиновое масло стерильное (7,0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Инструкция по применению – 1 шт.</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Тестовая карта</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96-луночная микропланшет из прозрачного пластика, заполненных биохимическими субстратами и антимикробными препаратами определенных концентраций</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Антимикробные препараты</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Бензилпенициллин, Оксациллин, Цефокситин, Цефтаролин, Гентамицин, Тобрамицин, Ципрофлоксацин, Левофлоксацин, Моксифлоксацин, Эритромицин, Клиндамицин, Далбаванцин, Тейкопланин, Ванкомицин, Доксициклин, Миноциклин, Тетрациклин, Тигециклин, Линезолид, Даптомицин, Нитрофурантоин, Рифампицин, Триметоприм, Триметоприм-сульфаметоксазол.</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Количественная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Кол-во исследований в наборе</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10</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Штука</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65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0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Совместимость</w:t>
            </w:r>
          </w:p>
        </w:tc>
        <w:tc>
          <w:tcPr>
            <w:tcW w:w="147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DL96A, D2Mini,устройство автоматическое для отбора проб Scan-10</w:t>
            </w:r>
          </w:p>
        </w:tc>
        <w:tc>
          <w:tcPr>
            <w:tcW w:w="905"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1183" w:type="dxa"/>
            <w:tcBorders>
              <w:top w:val="nil"/>
              <w:left w:val="nil"/>
              <w:bottom w:val="single" w:sz="8" w:space="0" w:color="auto"/>
              <w:right w:val="nil"/>
            </w:tcBorders>
            <w:shd w:val="clear" w:color="auto" w:fill="auto"/>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5</w:t>
            </w:r>
          </w:p>
        </w:tc>
        <w:tc>
          <w:tcPr>
            <w:tcW w:w="1343"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Изолят культуры бактерий/профиль чувствительности к антимикробным препаратам ИВД, набор</w:t>
            </w:r>
          </w:p>
        </w:tc>
        <w:tc>
          <w:tcPr>
            <w:tcW w:w="65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5</w:t>
            </w:r>
          </w:p>
        </w:tc>
        <w:tc>
          <w:tcPr>
            <w:tcW w:w="101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20.59.52.195-00000875*</w:t>
            </w:r>
          </w:p>
        </w:tc>
        <w:tc>
          <w:tcPr>
            <w:tcW w:w="9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Набор</w:t>
            </w:r>
          </w:p>
        </w:tc>
        <w:tc>
          <w:tcPr>
            <w:tcW w:w="1337"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Характеристики в соответствии с КТРУ:</w:t>
            </w:r>
          </w:p>
        </w:tc>
        <w:tc>
          <w:tcPr>
            <w:tcW w:w="1453"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47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905"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183" w:type="dxa"/>
            <w:tcBorders>
              <w:top w:val="nil"/>
              <w:left w:val="nil"/>
              <w:bottom w:val="single" w:sz="8" w:space="0" w:color="auto"/>
              <w:right w:val="nil"/>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22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8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8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88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E4ADD" w:rsidRPr="000E4ADD" w:rsidRDefault="000E4ADD" w:rsidP="000E4ADD">
            <w:pPr>
              <w:spacing w:after="0" w:line="240" w:lineRule="auto"/>
              <w:jc w:val="center"/>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r>
      <w:tr w:rsidR="000E4ADD" w:rsidRPr="000E4ADD" w:rsidTr="00005B0E">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nil"/>
              <w:right w:val="single" w:sz="8" w:space="0" w:color="auto"/>
            </w:tcBorders>
            <w:shd w:val="clear" w:color="000000" w:fill="FFFFFF"/>
            <w:vAlign w:val="center"/>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p>
        </w:tc>
        <w:tc>
          <w:tcPr>
            <w:tcW w:w="65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01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 </w:t>
            </w:r>
          </w:p>
        </w:tc>
        <w:tc>
          <w:tcPr>
            <w:tcW w:w="1453"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Назначение</w:t>
            </w:r>
          </w:p>
        </w:tc>
        <w:tc>
          <w:tcPr>
            <w:tcW w:w="147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Для анализаторов DL-96A, D2mini</w:t>
            </w:r>
          </w:p>
        </w:tc>
        <w:tc>
          <w:tcPr>
            <w:tcW w:w="905"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183" w:type="dxa"/>
            <w:tcBorders>
              <w:top w:val="nil"/>
              <w:left w:val="nil"/>
              <w:bottom w:val="single" w:sz="8" w:space="0" w:color="auto"/>
              <w:right w:val="nil"/>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005B0E">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nil"/>
              <w:right w:val="single" w:sz="8" w:space="0" w:color="auto"/>
            </w:tcBorders>
            <w:shd w:val="clear" w:color="000000" w:fill="FFFFFF"/>
            <w:vAlign w:val="center"/>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p>
        </w:tc>
        <w:tc>
          <w:tcPr>
            <w:tcW w:w="65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01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b/>
                <w:bCs/>
                <w:color w:val="000000"/>
                <w:sz w:val="16"/>
                <w:szCs w:val="16"/>
                <w:lang w:eastAsia="ru-RU"/>
              </w:rPr>
            </w:pPr>
            <w:r w:rsidRPr="000E4ADD">
              <w:rPr>
                <w:rFonts w:ascii="Times New Roman" w:eastAsia="Times New Roman" w:hAnsi="Times New Roman" w:cs="Times New Roman"/>
                <w:b/>
                <w:bCs/>
                <w:color w:val="000000"/>
                <w:sz w:val="16"/>
                <w:szCs w:val="16"/>
                <w:lang w:eastAsia="ru-RU"/>
              </w:rPr>
              <w:t>Дополнительные характеристики:</w:t>
            </w:r>
          </w:p>
        </w:tc>
        <w:tc>
          <w:tcPr>
            <w:tcW w:w="1453"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47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905"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183" w:type="dxa"/>
            <w:tcBorders>
              <w:top w:val="nil"/>
              <w:left w:val="nil"/>
              <w:bottom w:val="single" w:sz="8" w:space="0" w:color="auto"/>
              <w:right w:val="nil"/>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005B0E">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nil"/>
              <w:right w:val="single" w:sz="8" w:space="0" w:color="auto"/>
            </w:tcBorders>
            <w:shd w:val="clear" w:color="000000" w:fill="FFFFFF"/>
            <w:vAlign w:val="center"/>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p>
        </w:tc>
        <w:tc>
          <w:tcPr>
            <w:tcW w:w="65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01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Назначение</w:t>
            </w:r>
          </w:p>
        </w:tc>
        <w:tc>
          <w:tcPr>
            <w:tcW w:w="147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Набор реагентов предназначен для проведения 10 тестов на идентификацию и определения чувствительности к антимикробным препаратам  отрицательных по тесту на каталазу и грамположительных кокков, выделенных из клинического образца человека.</w:t>
            </w:r>
          </w:p>
        </w:tc>
        <w:tc>
          <w:tcPr>
            <w:tcW w:w="905"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инструкции к анализатору</w:t>
            </w:r>
          </w:p>
        </w:tc>
        <w:tc>
          <w:tcPr>
            <w:tcW w:w="1183" w:type="dxa"/>
            <w:tcBorders>
              <w:top w:val="nil"/>
              <w:left w:val="nil"/>
              <w:bottom w:val="single" w:sz="8" w:space="0" w:color="auto"/>
              <w:right w:val="nil"/>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005B0E">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nil"/>
              <w:right w:val="single" w:sz="8" w:space="0" w:color="auto"/>
            </w:tcBorders>
            <w:shd w:val="clear" w:color="000000" w:fill="FFFFFF"/>
            <w:vAlign w:val="center"/>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p>
        </w:tc>
        <w:tc>
          <w:tcPr>
            <w:tcW w:w="65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01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Состав, фасовка набора</w:t>
            </w:r>
          </w:p>
        </w:tc>
        <w:tc>
          <w:tcPr>
            <w:tcW w:w="147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Тестовая карта – 10 шт.</w:t>
            </w:r>
          </w:p>
        </w:tc>
        <w:tc>
          <w:tcPr>
            <w:tcW w:w="9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w:t>
            </w:r>
          </w:p>
        </w:tc>
        <w:tc>
          <w:tcPr>
            <w:tcW w:w="13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1183" w:type="dxa"/>
            <w:vMerge w:val="restart"/>
            <w:tcBorders>
              <w:top w:val="nil"/>
              <w:left w:val="single" w:sz="8" w:space="0" w:color="auto"/>
              <w:bottom w:val="single" w:sz="8" w:space="0" w:color="000000"/>
              <w:right w:val="nil"/>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65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101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Дилюент (3,0 мл) – 10 флаконов.</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65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101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Бульон для обогащения (2,5 мл) – 10 флаконов.</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65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101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Бульон IST (9,5 мл) – 10 флаконов.</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65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101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Вспомогательный реагент VP A (2,0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65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101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Вспомогательный реагент VP B (2,0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65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101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Вспомогательный реагент PYR (1,5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65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101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Вспомогательный реагент HIP (1,5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65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101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nil"/>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Парафиновое масло стерильное (7,0 мл) – 1 флакон.</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65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101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53"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47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Инструкция по применению – 1 шт</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183" w:type="dxa"/>
            <w:vMerge/>
            <w:tcBorders>
              <w:top w:val="nil"/>
              <w:left w:val="single" w:sz="8" w:space="0" w:color="auto"/>
              <w:bottom w:val="single" w:sz="8" w:space="0" w:color="000000"/>
              <w:right w:val="nil"/>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65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101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Тестовая карта</w:t>
            </w:r>
          </w:p>
        </w:tc>
        <w:tc>
          <w:tcPr>
            <w:tcW w:w="147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96-луночная микропланшет из прозрачного пластика, заполненных биохимическими субстратами и антимикробными препаратами определенных концентраций</w:t>
            </w:r>
          </w:p>
        </w:tc>
        <w:tc>
          <w:tcPr>
            <w:tcW w:w="905"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1183" w:type="dxa"/>
            <w:tcBorders>
              <w:top w:val="nil"/>
              <w:left w:val="nil"/>
              <w:bottom w:val="single" w:sz="8" w:space="0" w:color="auto"/>
              <w:right w:val="nil"/>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65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101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Антимикробные препараты</w:t>
            </w:r>
          </w:p>
        </w:tc>
        <w:tc>
          <w:tcPr>
            <w:tcW w:w="147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Бензилпенициллин, Ампициллин, Амоксициллин, Цефтаролин, Цефтриаксон, Цефуроксим, Меропенем, Левофлоксацин, Моксифлоксацин, Далбаванцин, Тейкопланин, Ванкомицин, Эритромицин, Клиндамицин, Доксициклин, Тетрациклин, Тигециклин, Линезолид, Нитрофурантоин, Рифампицин, Триметоприм-сульфаметоксазол, Гентамицин (тест на устойчивость к аминогликозидам высокого уровня), Стрептомицин (тест на устойчивость к аминогликозидам высокого уровня)</w:t>
            </w:r>
          </w:p>
        </w:tc>
        <w:tc>
          <w:tcPr>
            <w:tcW w:w="905"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1183" w:type="dxa"/>
            <w:tcBorders>
              <w:top w:val="nil"/>
              <w:left w:val="nil"/>
              <w:bottom w:val="single" w:sz="8" w:space="0" w:color="auto"/>
              <w:right w:val="nil"/>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65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1019" w:type="dxa"/>
            <w:tcBorders>
              <w:top w:val="nil"/>
              <w:left w:val="nil"/>
              <w:bottom w:val="nil"/>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Количественная</w:t>
            </w:r>
          </w:p>
        </w:tc>
        <w:tc>
          <w:tcPr>
            <w:tcW w:w="1453"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Кол-во исследований в наборе</w:t>
            </w:r>
          </w:p>
        </w:tc>
        <w:tc>
          <w:tcPr>
            <w:tcW w:w="147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10</w:t>
            </w:r>
          </w:p>
        </w:tc>
        <w:tc>
          <w:tcPr>
            <w:tcW w:w="905"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Штука</w:t>
            </w:r>
          </w:p>
        </w:tc>
        <w:tc>
          <w:tcPr>
            <w:tcW w:w="131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1183" w:type="dxa"/>
            <w:tcBorders>
              <w:top w:val="nil"/>
              <w:left w:val="nil"/>
              <w:bottom w:val="single" w:sz="8" w:space="0" w:color="auto"/>
              <w:right w:val="nil"/>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r w:rsidR="000E4ADD" w:rsidRPr="000E4ADD" w:rsidTr="00EF439B">
        <w:trPr>
          <w:trHeight w:val="402"/>
        </w:trPr>
        <w:tc>
          <w:tcPr>
            <w:tcW w:w="362"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43" w:type="dxa"/>
            <w:tcBorders>
              <w:top w:val="nil"/>
              <w:left w:val="nil"/>
              <w:bottom w:val="single" w:sz="8" w:space="0" w:color="auto"/>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659" w:type="dxa"/>
            <w:tcBorders>
              <w:top w:val="nil"/>
              <w:left w:val="nil"/>
              <w:bottom w:val="single" w:sz="8" w:space="0" w:color="auto"/>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1019" w:type="dxa"/>
            <w:tcBorders>
              <w:top w:val="nil"/>
              <w:left w:val="nil"/>
              <w:bottom w:val="single" w:sz="8" w:space="0" w:color="auto"/>
              <w:right w:val="single" w:sz="8" w:space="0" w:color="auto"/>
            </w:tcBorders>
            <w:shd w:val="clear" w:color="000000" w:fill="FFFFFF"/>
            <w:hideMark/>
          </w:tcPr>
          <w:p w:rsidR="000E4ADD" w:rsidRPr="000E4ADD" w:rsidRDefault="000E4ADD" w:rsidP="000E4ADD">
            <w:pPr>
              <w:spacing w:after="0" w:line="240" w:lineRule="auto"/>
              <w:rPr>
                <w:rFonts w:ascii="Calibri" w:eastAsia="Times New Roman" w:hAnsi="Calibri" w:cs="Times New Roman"/>
                <w:color w:val="000000"/>
                <w:lang w:eastAsia="ru-RU"/>
              </w:rPr>
            </w:pPr>
            <w:r w:rsidRPr="000E4ADD">
              <w:rPr>
                <w:rFonts w:ascii="Calibri" w:eastAsia="Times New Roman" w:hAnsi="Calibri" w:cs="Times New Roman"/>
                <w:color w:val="000000"/>
                <w:lang w:eastAsia="ru-RU"/>
              </w:rPr>
              <w:t> </w:t>
            </w:r>
          </w:p>
        </w:tc>
        <w:tc>
          <w:tcPr>
            <w:tcW w:w="905" w:type="dxa"/>
            <w:vMerge/>
            <w:tcBorders>
              <w:top w:val="nil"/>
              <w:left w:val="single" w:sz="8" w:space="0" w:color="auto"/>
              <w:bottom w:val="single" w:sz="8" w:space="0" w:color="000000"/>
              <w:right w:val="single" w:sz="8" w:space="0" w:color="auto"/>
            </w:tcBorders>
            <w:vAlign w:val="center"/>
            <w:hideMark/>
          </w:tcPr>
          <w:p w:rsidR="000E4ADD" w:rsidRPr="000E4ADD" w:rsidRDefault="000E4ADD" w:rsidP="000E4ADD">
            <w:pPr>
              <w:spacing w:after="0" w:line="240" w:lineRule="auto"/>
              <w:rPr>
                <w:rFonts w:ascii="Times New Roman" w:eastAsia="Times New Roman" w:hAnsi="Times New Roman" w:cs="Times New Roman"/>
                <w:color w:val="000000"/>
                <w:sz w:val="16"/>
                <w:szCs w:val="16"/>
                <w:lang w:eastAsia="ru-RU"/>
              </w:rPr>
            </w:pPr>
          </w:p>
        </w:tc>
        <w:tc>
          <w:tcPr>
            <w:tcW w:w="1337"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Качественная</w:t>
            </w:r>
          </w:p>
        </w:tc>
        <w:tc>
          <w:tcPr>
            <w:tcW w:w="1453"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Совместимость</w:t>
            </w:r>
          </w:p>
        </w:tc>
        <w:tc>
          <w:tcPr>
            <w:tcW w:w="147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DL96A, D2Mini,устройство автоматическое для отбора проб Scan-10</w:t>
            </w:r>
          </w:p>
        </w:tc>
        <w:tc>
          <w:tcPr>
            <w:tcW w:w="905"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 </w:t>
            </w:r>
          </w:p>
        </w:tc>
        <w:tc>
          <w:tcPr>
            <w:tcW w:w="1319" w:type="dxa"/>
            <w:tcBorders>
              <w:top w:val="nil"/>
              <w:left w:val="nil"/>
              <w:bottom w:val="single" w:sz="8" w:space="0" w:color="auto"/>
              <w:right w:val="single" w:sz="8" w:space="0" w:color="auto"/>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1183" w:type="dxa"/>
            <w:tcBorders>
              <w:top w:val="nil"/>
              <w:left w:val="nil"/>
              <w:bottom w:val="single" w:sz="8" w:space="0" w:color="auto"/>
              <w:right w:val="nil"/>
            </w:tcBorders>
            <w:shd w:val="clear" w:color="000000" w:fill="FFFFFF"/>
            <w:vAlign w:val="center"/>
            <w:hideMark/>
          </w:tcPr>
          <w:p w:rsidR="000E4ADD" w:rsidRPr="000E4ADD" w:rsidRDefault="000E4ADD" w:rsidP="000E4ADD">
            <w:pPr>
              <w:spacing w:after="0" w:line="240" w:lineRule="auto"/>
              <w:jc w:val="center"/>
              <w:rPr>
                <w:rFonts w:ascii="Times New Roman" w:eastAsia="Times New Roman" w:hAnsi="Times New Roman" w:cs="Times New Roman"/>
                <w:color w:val="000000"/>
                <w:sz w:val="16"/>
                <w:szCs w:val="16"/>
                <w:lang w:eastAsia="ru-RU"/>
              </w:rPr>
            </w:pPr>
            <w:r w:rsidRPr="000E4ADD">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1225"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c>
          <w:tcPr>
            <w:tcW w:w="884" w:type="dxa"/>
            <w:vMerge/>
            <w:tcBorders>
              <w:top w:val="nil"/>
              <w:left w:val="single" w:sz="4" w:space="0" w:color="auto"/>
              <w:bottom w:val="single" w:sz="4" w:space="0" w:color="000000"/>
              <w:right w:val="single" w:sz="4" w:space="0" w:color="auto"/>
            </w:tcBorders>
            <w:vAlign w:val="center"/>
            <w:hideMark/>
          </w:tcPr>
          <w:p w:rsidR="000E4ADD" w:rsidRPr="000E4ADD" w:rsidRDefault="000E4ADD" w:rsidP="000E4ADD">
            <w:pPr>
              <w:spacing w:after="0" w:line="240" w:lineRule="auto"/>
              <w:rPr>
                <w:rFonts w:ascii="Calibri" w:eastAsia="Times New Roman" w:hAnsi="Calibri" w:cs="Times New Roman"/>
                <w:color w:val="000000"/>
                <w:lang w:eastAsia="ru-RU"/>
              </w:rPr>
            </w:pPr>
          </w:p>
        </w:tc>
      </w:tr>
    </w:tbl>
    <w:p w:rsidR="00EF439B" w:rsidRDefault="00EF439B" w:rsidP="00EF439B">
      <w:pPr>
        <w:autoSpaceDE w:val="0"/>
        <w:autoSpaceDN w:val="0"/>
        <w:adjustRightInd w:val="0"/>
        <w:rPr>
          <w:rFonts w:ascii="Times New Roman CYR" w:hAnsi="Times New Roman CYR" w:cs="Times New Roman CYR"/>
          <w:b/>
          <w:bCs/>
        </w:rPr>
      </w:pPr>
      <w:r>
        <w:rPr>
          <w:rFonts w:ascii="Times New Roman CYR" w:hAnsi="Times New Roman CYR" w:cs="Times New Roman CYR"/>
          <w:b/>
          <w:bCs/>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170252" w:rsidRDefault="00170252" w:rsidP="000820E3">
      <w:pPr>
        <w:rPr>
          <w:rFonts w:ascii="Times New Roman" w:hAnsi="Times New Roman" w:cs="Times New Roman"/>
          <w:b/>
          <w:sz w:val="28"/>
          <w:szCs w:val="28"/>
        </w:rPr>
      </w:pPr>
    </w:p>
    <w:sectPr w:rsidR="00170252" w:rsidSect="000E4ADD">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010" w:rsidRDefault="00AF5010">
      <w:pPr>
        <w:spacing w:after="0" w:line="240" w:lineRule="auto"/>
      </w:pPr>
      <w:r>
        <w:separator/>
      </w:r>
    </w:p>
  </w:endnote>
  <w:endnote w:type="continuationSeparator" w:id="0">
    <w:p w:rsidR="00AF5010" w:rsidRDefault="00AF5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E6283" w:rsidRDefault="000E6283">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E4ADD" w:rsidRDefault="000E6283">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0E4ADD" w:rsidRDefault="000E4ADD">
        <w:pPr>
          <w:pStyle w:val="ab"/>
          <w:jc w:val="right"/>
        </w:pPr>
        <w:r>
          <w:fldChar w:fldCharType="begin"/>
        </w:r>
        <w:r>
          <w:instrText>PAGE   \* MERGEFORMAT</w:instrText>
        </w:r>
        <w:r>
          <w:fldChar w:fldCharType="separate"/>
        </w:r>
        <w:r w:rsidR="000E6283">
          <w:rPr>
            <w:noProof/>
          </w:rPr>
          <w:t>1</w:t>
        </w:r>
        <w:r>
          <w:fldChar w:fldCharType="end"/>
        </w:r>
      </w:p>
    </w:sdtContent>
  </w:sdt>
  <w:p w:rsidR="000E4ADD" w:rsidRDefault="000E4ADD">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E4ADD" w:rsidRDefault="000E6283">
    <w:pPr>
      <w:pStyle w:val="ab"/>
      <w:jc w:val="right"/>
    </w:pPr>
    <w:sdt>
      <w:sdtPr>
        <w:id w:val="-915003870"/>
        <w:docPartObj>
          <w:docPartGallery w:val="Page Numbers (Bottom of Page)"/>
          <w:docPartUnique/>
        </w:docPartObj>
      </w:sdtPr>
      <w:sdtEndPr/>
      <w:sdtContent>
        <w:r w:rsidR="000E4ADD">
          <w:fldChar w:fldCharType="begin"/>
        </w:r>
        <w:r w:rsidR="000E4ADD">
          <w:instrText>PAGE   \* MERGEFORMAT</w:instrText>
        </w:r>
        <w:r w:rsidR="000E4ADD">
          <w:fldChar w:fldCharType="separate"/>
        </w:r>
        <w:r w:rsidR="000E4ADD">
          <w:rPr>
            <w:noProof/>
          </w:rPr>
          <w:t>2</w:t>
        </w:r>
        <w:r w:rsidR="000E4ADD">
          <w:fldChar w:fldCharType="end"/>
        </w:r>
      </w:sdtContent>
    </w:sdt>
  </w:p>
  <w:p w:rsidR="000E4ADD" w:rsidRDefault="000E4ADD"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E4ADD" w:rsidRDefault="000E6283">
    <w:pPr>
      <w:pStyle w:val="ab"/>
      <w:jc w:val="right"/>
    </w:pPr>
    <w:sdt>
      <w:sdtPr>
        <w:id w:val="707909240"/>
        <w:docPartObj>
          <w:docPartGallery w:val="Page Numbers (Bottom of Page)"/>
          <w:docPartUnique/>
        </w:docPartObj>
      </w:sdtPr>
      <w:sdtEndPr/>
      <w:sdtContent>
        <w:r w:rsidR="000E4ADD">
          <w:fldChar w:fldCharType="begin"/>
        </w:r>
        <w:r w:rsidR="000E4ADD">
          <w:instrText>PAGE   \* MERGEFORMAT</w:instrText>
        </w:r>
        <w:r w:rsidR="000E4ADD">
          <w:fldChar w:fldCharType="separate"/>
        </w:r>
        <w:r w:rsidR="00005B0E">
          <w:rPr>
            <w:noProof/>
          </w:rPr>
          <w:t>2</w:t>
        </w:r>
        <w:r w:rsidR="000E4ADD">
          <w:fldChar w:fldCharType="end"/>
        </w:r>
      </w:sdtContent>
    </w:sdt>
  </w:p>
  <w:p w:rsidR="000E4ADD" w:rsidRDefault="000E4ADD"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E4ADD" w:rsidRDefault="000E6283">
    <w:pPr>
      <w:pStyle w:val="ab"/>
      <w:jc w:val="right"/>
    </w:pPr>
    <w:sdt>
      <w:sdtPr>
        <w:id w:val="-800836465"/>
        <w:docPartObj>
          <w:docPartGallery w:val="Page Numbers (Bottom of Page)"/>
          <w:docPartUnique/>
        </w:docPartObj>
      </w:sdtPr>
      <w:sdtEndPr/>
      <w:sdtContent>
        <w:r w:rsidR="000E4ADD">
          <w:fldChar w:fldCharType="begin"/>
        </w:r>
        <w:r w:rsidR="000E4ADD">
          <w:instrText>PAGE   \* MERGEFORMAT</w:instrText>
        </w:r>
        <w:r w:rsidR="000E4ADD">
          <w:fldChar w:fldCharType="separate"/>
        </w:r>
        <w:r w:rsidR="00005B0E">
          <w:rPr>
            <w:noProof/>
          </w:rPr>
          <w:t>4</w:t>
        </w:r>
        <w:r w:rsidR="000E4ADD">
          <w:fldChar w:fldCharType="end"/>
        </w:r>
      </w:sdtContent>
    </w:sdt>
  </w:p>
  <w:p w:rsidR="000E4ADD" w:rsidRDefault="000E4ADD"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010" w:rsidRDefault="00AF5010">
      <w:pPr>
        <w:spacing w:after="0" w:line="240" w:lineRule="auto"/>
      </w:pPr>
      <w:r>
        <w:separator/>
      </w:r>
    </w:p>
  </w:footnote>
  <w:footnote w:type="continuationSeparator" w:id="0">
    <w:p w:rsidR="00AF5010" w:rsidRDefault="00AF5010">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E6283" w:rsidRDefault="000E6283">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E6283" w:rsidRDefault="000E6283">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E6283" w:rsidRDefault="000E6283">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E4ADD" w:rsidRPr="006B0C1A" w:rsidRDefault="000E4ADD"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E4ADD" w:rsidRPr="006B0C1A" w:rsidRDefault="000E4ADD"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05B0E"/>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4ADD"/>
    <w:rsid w:val="000E51AC"/>
    <w:rsid w:val="000E6283"/>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357F"/>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5010"/>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439B"/>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character" w:customStyle="1" w:styleId="a8">
    <w:name w:val="Абзац списка Знак"/>
    <w:link w:val="a7"/>
    <w:uiPriority w:val="34"/>
    <w:locked/>
    <w:rsid w:val="00DB5EE8"/>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169419663">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826CE-4D57-4796-85D3-802569583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2857</Words>
  <Characters>16291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2026-08-04T07:10:00Z</dcterms:created>
  <dcterms:modified xsi:type="dcterms:W3CDTF">2026-08-04T07:10:00Z</dcterms:modified>
</cp:coreProperties>
</file>