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10.12.2025 № 21.1-03/2384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16.12.2025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A0A6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925E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10.04.2026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95 (девяносто пяти) календарных дней с момента заключения Контракта, но не ранее 01.01.2026
                <w:br/>
                Допускается досрочная поставка партиями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(шести)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925E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F925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F925EF">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5011" w:type="pct"/>
        <w:tblInd w:w="-34" w:type="dxa"/>
        <w:shd w:val="clear" w:color="auto" w:fill="FFFFFF" w:themeFill="background1"/>
        <w:tblLayout w:type="fixed"/>
        <w:tblLook w:val="04A0" w:firstRow="1" w:lastRow="0" w:firstColumn="1" w:lastColumn="0" w:noHBand="0" w:noVBand="1"/>
      </w:tblPr>
      <w:tblGrid>
        <w:gridCol w:w="421"/>
        <w:gridCol w:w="1851"/>
        <w:gridCol w:w="985"/>
        <w:gridCol w:w="985"/>
        <w:gridCol w:w="985"/>
        <w:gridCol w:w="1413"/>
        <w:gridCol w:w="1410"/>
        <w:gridCol w:w="1023"/>
        <w:gridCol w:w="1135"/>
        <w:gridCol w:w="1518"/>
        <w:gridCol w:w="1413"/>
        <w:gridCol w:w="729"/>
        <w:gridCol w:w="706"/>
        <w:gridCol w:w="706"/>
        <w:gridCol w:w="703"/>
      </w:tblGrid>
      <w:tr w:rsidR="00F925EF" w:rsidRPr="00F925EF" w:rsidTr="00F925EF">
        <w:tc>
          <w:tcPr>
            <w:tcW w:w="13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b/>
                <w:sz w:val="14"/>
                <w:szCs w:val="14"/>
              </w:rPr>
            </w:pPr>
            <w:r w:rsidRPr="00F05447">
              <w:rPr>
                <w:rFonts w:ascii="Times New Roman" w:hAnsi="Times New Roman" w:cs="Times New Roman"/>
                <w:b/>
                <w:sz w:val="14"/>
                <w:szCs w:val="14"/>
              </w:rPr>
              <w:t>№ п/п</w:t>
            </w:r>
          </w:p>
        </w:tc>
        <w:tc>
          <w:tcPr>
            <w:tcW w:w="57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sz w:val="14"/>
                <w:szCs w:val="14"/>
              </w:rPr>
            </w:pPr>
            <w:r w:rsidRPr="00F05447">
              <w:rPr>
                <w:rFonts w:ascii="Times New Roman" w:hAnsi="Times New Roman" w:cs="Times New Roman"/>
                <w:b/>
                <w:bCs/>
                <w:color w:val="000000"/>
                <w:sz w:val="14"/>
                <w:szCs w:val="14"/>
              </w:rPr>
              <w:t>Наименование товара, работы, услуги</w:t>
            </w:r>
          </w:p>
        </w:tc>
        <w:tc>
          <w:tcPr>
            <w:tcW w:w="308"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b/>
                <w:bCs/>
                <w:sz w:val="14"/>
                <w:szCs w:val="14"/>
                <w:lang w:eastAsia="ru-RU"/>
              </w:rPr>
            </w:pPr>
            <w:r w:rsidRPr="00F05447">
              <w:rPr>
                <w:rFonts w:ascii="Times New Roman" w:hAnsi="Times New Roman" w:cs="Times New Roman"/>
                <w:b/>
                <w:bCs/>
                <w:color w:val="000000"/>
                <w:sz w:val="14"/>
                <w:szCs w:val="14"/>
              </w:rPr>
              <w:t>Код позиции</w:t>
            </w:r>
          </w:p>
        </w:tc>
        <w:tc>
          <w:tcPr>
            <w:tcW w:w="308"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b/>
                <w:bCs/>
                <w:sz w:val="14"/>
                <w:szCs w:val="14"/>
                <w:lang w:eastAsia="ru-RU"/>
              </w:rPr>
            </w:pPr>
            <w:r w:rsidRPr="00F05447">
              <w:rPr>
                <w:rFonts w:ascii="Times New Roman" w:hAnsi="Times New Roman" w:cs="Times New Roman"/>
                <w:b/>
                <w:bCs/>
                <w:color w:val="000000"/>
                <w:sz w:val="14"/>
                <w:szCs w:val="14"/>
              </w:rPr>
              <w:t>Количество (объем работы, услуги)</w:t>
            </w:r>
          </w:p>
        </w:tc>
        <w:tc>
          <w:tcPr>
            <w:tcW w:w="308"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b/>
                <w:bCs/>
                <w:sz w:val="14"/>
                <w:szCs w:val="14"/>
                <w:lang w:eastAsia="ru-RU"/>
              </w:rPr>
            </w:pPr>
            <w:r w:rsidRPr="00F05447">
              <w:rPr>
                <w:rFonts w:ascii="Times New Roman" w:hAnsi="Times New Roman" w:cs="Times New Roman"/>
                <w:b/>
                <w:bCs/>
                <w:sz w:val="14"/>
                <w:szCs w:val="14"/>
                <w:lang w:eastAsia="ru-RU"/>
              </w:rPr>
              <w:t>Единица измерения</w:t>
            </w:r>
          </w:p>
          <w:p w:rsidR="00F925EF" w:rsidRPr="00F05447" w:rsidRDefault="00F925EF" w:rsidP="00F925EF">
            <w:pPr>
              <w:jc w:val="center"/>
              <w:rPr>
                <w:rFonts w:ascii="Times New Roman" w:hAnsi="Times New Roman" w:cs="Times New Roman"/>
                <w:b/>
                <w:bCs/>
                <w:sz w:val="14"/>
                <w:szCs w:val="14"/>
                <w:lang w:eastAsia="ru-RU"/>
              </w:rPr>
            </w:pPr>
            <w:r w:rsidRPr="00F05447">
              <w:rPr>
                <w:rFonts w:ascii="Times New Roman" w:hAnsi="Times New Roman" w:cs="Times New Roman"/>
                <w:b/>
                <w:bCs/>
                <w:sz w:val="14"/>
                <w:szCs w:val="14"/>
                <w:lang w:eastAsia="ru-RU"/>
              </w:rPr>
              <w:t>Товара</w:t>
            </w:r>
          </w:p>
        </w:tc>
        <w:tc>
          <w:tcPr>
            <w:tcW w:w="44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b/>
                <w:bCs/>
                <w:sz w:val="14"/>
                <w:szCs w:val="14"/>
                <w:lang w:eastAsia="ru-RU"/>
              </w:rPr>
            </w:pPr>
            <w:r w:rsidRPr="00F05447">
              <w:rPr>
                <w:rFonts w:ascii="Times New Roman" w:hAnsi="Times New Roman" w:cs="Times New Roman"/>
                <w:b/>
                <w:bCs/>
                <w:sz w:val="14"/>
                <w:szCs w:val="14"/>
                <w:lang w:eastAsia="ru-RU"/>
              </w:rPr>
              <w:t xml:space="preserve">Тип характеристики </w:t>
            </w:r>
          </w:p>
          <w:p w:rsidR="00F925EF" w:rsidRPr="00F05447" w:rsidRDefault="00F925EF" w:rsidP="00F925EF">
            <w:pPr>
              <w:jc w:val="center"/>
              <w:rPr>
                <w:rFonts w:ascii="Times New Roman" w:hAnsi="Times New Roman" w:cs="Times New Roman"/>
                <w:b/>
                <w:bCs/>
                <w:sz w:val="14"/>
                <w:szCs w:val="14"/>
                <w:lang w:eastAsia="ru-RU"/>
              </w:rPr>
            </w:pPr>
            <w:r w:rsidRPr="00F05447">
              <w:rPr>
                <w:rFonts w:ascii="Times New Roman" w:hAnsi="Times New Roman" w:cs="Times New Roman"/>
                <w:b/>
                <w:bCs/>
                <w:sz w:val="14"/>
                <w:szCs w:val="14"/>
                <w:lang w:eastAsia="ru-RU"/>
              </w:rPr>
              <w:t>(количественная/</w:t>
            </w:r>
          </w:p>
          <w:p w:rsidR="00F925EF" w:rsidRPr="00F05447" w:rsidRDefault="00F925EF" w:rsidP="00F925EF">
            <w:pPr>
              <w:jc w:val="center"/>
              <w:rPr>
                <w:rFonts w:ascii="Times New Roman" w:hAnsi="Times New Roman" w:cs="Times New Roman"/>
                <w:b/>
                <w:bCs/>
                <w:sz w:val="14"/>
                <w:szCs w:val="14"/>
                <w:lang w:eastAsia="ru-RU"/>
              </w:rPr>
            </w:pPr>
            <w:r w:rsidRPr="00F05447">
              <w:rPr>
                <w:rFonts w:ascii="Times New Roman" w:hAnsi="Times New Roman" w:cs="Times New Roman"/>
                <w:b/>
                <w:bCs/>
                <w:sz w:val="14"/>
                <w:szCs w:val="14"/>
                <w:lang w:eastAsia="ru-RU"/>
              </w:rPr>
              <w:t>Качественная)</w:t>
            </w:r>
          </w:p>
        </w:tc>
        <w:tc>
          <w:tcPr>
            <w:tcW w:w="44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sz w:val="14"/>
                <w:szCs w:val="14"/>
              </w:rPr>
            </w:pPr>
            <w:r w:rsidRPr="00F05447">
              <w:rPr>
                <w:rFonts w:ascii="Times New Roman" w:hAnsi="Times New Roman" w:cs="Times New Roman"/>
                <w:b/>
                <w:bCs/>
                <w:color w:val="000000"/>
                <w:sz w:val="14"/>
                <w:szCs w:val="14"/>
              </w:rPr>
              <w:t>Наименование характеристики</w:t>
            </w:r>
          </w:p>
        </w:tc>
        <w:tc>
          <w:tcPr>
            <w:tcW w:w="32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sz w:val="14"/>
                <w:szCs w:val="14"/>
              </w:rPr>
            </w:pPr>
            <w:r w:rsidRPr="00F05447">
              <w:rPr>
                <w:rFonts w:ascii="Times New Roman" w:hAnsi="Times New Roman" w:cs="Times New Roman"/>
                <w:b/>
                <w:bCs/>
                <w:color w:val="000000"/>
                <w:sz w:val="14"/>
                <w:szCs w:val="14"/>
              </w:rPr>
              <w:t>Значение характеристики</w:t>
            </w:r>
          </w:p>
        </w:tc>
        <w:tc>
          <w:tcPr>
            <w:tcW w:w="35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b/>
                <w:bCs/>
                <w:sz w:val="14"/>
                <w:szCs w:val="14"/>
                <w:lang w:eastAsia="ru-RU"/>
              </w:rPr>
            </w:pPr>
            <w:r w:rsidRPr="00F05447">
              <w:rPr>
                <w:rFonts w:ascii="Times New Roman" w:hAnsi="Times New Roman" w:cs="Times New Roman"/>
                <w:b/>
                <w:bCs/>
                <w:color w:val="000000"/>
                <w:sz w:val="14"/>
                <w:szCs w:val="14"/>
              </w:rPr>
              <w:t>Единица измерения характеристики</w:t>
            </w:r>
          </w:p>
        </w:tc>
        <w:tc>
          <w:tcPr>
            <w:tcW w:w="47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b/>
                <w:bCs/>
                <w:sz w:val="14"/>
                <w:szCs w:val="14"/>
                <w:lang w:eastAsia="ru-RU"/>
              </w:rPr>
            </w:pPr>
            <w:r w:rsidRPr="00F05447">
              <w:rPr>
                <w:rFonts w:ascii="Times New Roman" w:hAnsi="Times New Roman" w:cs="Times New Roman"/>
                <w:b/>
                <w:bCs/>
                <w:sz w:val="14"/>
                <w:szCs w:val="14"/>
                <w:lang w:eastAsia="ru-RU"/>
              </w:rPr>
              <w:t>Обоснование дополнительных характеристик</w:t>
            </w:r>
          </w:p>
          <w:p w:rsidR="00F925EF" w:rsidRPr="00F05447" w:rsidRDefault="00F925EF" w:rsidP="00F925EF">
            <w:pPr>
              <w:jc w:val="center"/>
              <w:rPr>
                <w:rFonts w:ascii="Times New Roman" w:hAnsi="Times New Roman" w:cs="Times New Roman"/>
                <w:b/>
                <w:bCs/>
                <w:sz w:val="14"/>
                <w:szCs w:val="14"/>
                <w:lang w:eastAsia="ru-RU"/>
              </w:rPr>
            </w:pPr>
          </w:p>
        </w:tc>
        <w:tc>
          <w:tcPr>
            <w:tcW w:w="44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925EF" w:rsidRPr="00F05447" w:rsidRDefault="00F925EF" w:rsidP="00F925EF">
            <w:pPr>
              <w:jc w:val="center"/>
              <w:rPr>
                <w:rFonts w:ascii="Times New Roman" w:hAnsi="Times New Roman" w:cs="Times New Roman"/>
                <w:sz w:val="14"/>
                <w:szCs w:val="14"/>
              </w:rPr>
            </w:pPr>
            <w:r w:rsidRPr="00F05447">
              <w:rPr>
                <w:rFonts w:ascii="Times New Roman" w:hAnsi="Times New Roman" w:cs="Times New Roman"/>
                <w:b/>
                <w:bCs/>
                <w:color w:val="000000"/>
                <w:sz w:val="14"/>
                <w:szCs w:val="14"/>
              </w:rPr>
              <w:t>Инструкция по заполнению характеристик в заявке</w:t>
            </w:r>
          </w:p>
        </w:tc>
        <w:tc>
          <w:tcPr>
            <w:tcW w:w="228" w:type="pct"/>
            <w:tcBorders>
              <w:top w:val="single" w:sz="8" w:space="0" w:color="auto"/>
              <w:left w:val="nil"/>
              <w:right w:val="single" w:sz="8" w:space="0" w:color="auto"/>
            </w:tcBorders>
            <w:shd w:val="clear" w:color="auto" w:fill="auto"/>
            <w:vAlign w:val="center"/>
          </w:tcPr>
          <w:p w:rsidR="00F925EF" w:rsidRPr="00C44583" w:rsidRDefault="00F925EF" w:rsidP="00F925EF">
            <w:pPr>
              <w:jc w:val="center"/>
              <w:rPr>
                <w:rFonts w:ascii="Times New Roman" w:hAnsi="Times New Roman" w:cs="Times New Roman"/>
                <w:b/>
                <w:bCs/>
                <w:color w:val="000000"/>
                <w:sz w:val="14"/>
                <w:szCs w:val="14"/>
              </w:rPr>
            </w:pPr>
            <w:r w:rsidRPr="00C44583">
              <w:rPr>
                <w:rFonts w:ascii="Times New Roman" w:hAnsi="Times New Roman" w:cs="Times New Roman"/>
                <w:b/>
                <w:bCs/>
                <w:color w:val="000000"/>
                <w:sz w:val="14"/>
                <w:szCs w:val="14"/>
              </w:rPr>
              <w:t>Страна происхождения Товара</w:t>
            </w:r>
          </w:p>
          <w:p w:rsidR="00F925EF" w:rsidRPr="00C44583" w:rsidRDefault="00F925EF" w:rsidP="00F925EF">
            <w:pPr>
              <w:jc w:val="center"/>
              <w:rPr>
                <w:rFonts w:ascii="Times New Roman" w:hAnsi="Times New Roman" w:cs="Times New Roman"/>
                <w:b/>
                <w:bCs/>
                <w:color w:val="000000"/>
                <w:sz w:val="14"/>
                <w:szCs w:val="14"/>
              </w:rPr>
            </w:pPr>
            <w:r w:rsidRPr="00C44583">
              <w:rPr>
                <w:rFonts w:ascii="Times New Roman" w:hAnsi="Times New Roman" w:cs="Times New Roman"/>
                <w:b/>
                <w:bCs/>
                <w:color w:val="000000"/>
                <w:sz w:val="14"/>
                <w:szCs w:val="14"/>
              </w:rPr>
              <w:t> </w:t>
            </w:r>
          </w:p>
        </w:tc>
        <w:tc>
          <w:tcPr>
            <w:tcW w:w="221" w:type="pct"/>
            <w:tcBorders>
              <w:top w:val="single" w:sz="8" w:space="0" w:color="auto"/>
              <w:left w:val="nil"/>
              <w:right w:val="single" w:sz="8" w:space="0" w:color="auto"/>
            </w:tcBorders>
            <w:shd w:val="clear" w:color="auto" w:fill="auto"/>
            <w:vAlign w:val="center"/>
          </w:tcPr>
          <w:p w:rsidR="00F925EF" w:rsidRPr="00C44583" w:rsidRDefault="00F925EF" w:rsidP="00F925EF">
            <w:pPr>
              <w:jc w:val="center"/>
              <w:rPr>
                <w:rFonts w:ascii="Times New Roman" w:hAnsi="Times New Roman" w:cs="Times New Roman"/>
                <w:b/>
                <w:bCs/>
                <w:color w:val="000000"/>
                <w:sz w:val="14"/>
                <w:szCs w:val="14"/>
              </w:rPr>
            </w:pPr>
            <w:r w:rsidRPr="00C44583">
              <w:rPr>
                <w:rFonts w:ascii="Times New Roman" w:hAnsi="Times New Roman" w:cs="Times New Roman"/>
                <w:b/>
                <w:bCs/>
                <w:color w:val="000000"/>
                <w:sz w:val="14"/>
                <w:szCs w:val="14"/>
              </w:rPr>
              <w:t>Ставка НДС%</w:t>
            </w:r>
          </w:p>
          <w:p w:rsidR="00F925EF" w:rsidRPr="00C44583" w:rsidRDefault="00F925EF" w:rsidP="00F925EF">
            <w:pPr>
              <w:jc w:val="center"/>
              <w:rPr>
                <w:rFonts w:ascii="Times New Roman" w:hAnsi="Times New Roman" w:cs="Times New Roman"/>
                <w:b/>
                <w:bCs/>
                <w:color w:val="000000"/>
                <w:sz w:val="14"/>
                <w:szCs w:val="14"/>
              </w:rPr>
            </w:pPr>
            <w:r w:rsidRPr="00C44583">
              <w:rPr>
                <w:rFonts w:ascii="Times New Roman" w:hAnsi="Times New Roman" w:cs="Times New Roman"/>
                <w:b/>
                <w:bCs/>
                <w:color w:val="000000"/>
                <w:sz w:val="14"/>
                <w:szCs w:val="14"/>
              </w:rPr>
              <w:t> </w:t>
            </w:r>
          </w:p>
        </w:tc>
        <w:tc>
          <w:tcPr>
            <w:tcW w:w="221" w:type="pct"/>
            <w:tcBorders>
              <w:top w:val="single" w:sz="8" w:space="0" w:color="auto"/>
              <w:left w:val="single" w:sz="8" w:space="0" w:color="auto"/>
              <w:bottom w:val="single" w:sz="8" w:space="0" w:color="000000"/>
              <w:right w:val="single" w:sz="8" w:space="0" w:color="auto"/>
            </w:tcBorders>
            <w:shd w:val="clear" w:color="auto" w:fill="auto"/>
            <w:vAlign w:val="center"/>
          </w:tcPr>
          <w:p w:rsidR="00F925EF" w:rsidRPr="00C44583" w:rsidRDefault="00F925EF" w:rsidP="00F925EF">
            <w:pPr>
              <w:jc w:val="center"/>
              <w:rPr>
                <w:rFonts w:ascii="Times New Roman" w:hAnsi="Times New Roman" w:cs="Times New Roman"/>
                <w:b/>
                <w:bCs/>
                <w:color w:val="000000"/>
                <w:sz w:val="14"/>
                <w:szCs w:val="14"/>
              </w:rPr>
            </w:pPr>
            <w:r w:rsidRPr="00C44583">
              <w:rPr>
                <w:rFonts w:ascii="Times New Roman" w:hAnsi="Times New Roman" w:cs="Times New Roman"/>
                <w:b/>
                <w:bCs/>
                <w:color w:val="000000"/>
                <w:sz w:val="14"/>
                <w:szCs w:val="14"/>
              </w:rPr>
              <w:t>Цена за единицу без НДС</w:t>
            </w:r>
          </w:p>
        </w:tc>
        <w:tc>
          <w:tcPr>
            <w:tcW w:w="220" w:type="pct"/>
            <w:tcBorders>
              <w:top w:val="single" w:sz="8" w:space="0" w:color="auto"/>
              <w:left w:val="single" w:sz="8" w:space="0" w:color="auto"/>
              <w:bottom w:val="single" w:sz="8" w:space="0" w:color="000000"/>
              <w:right w:val="single" w:sz="8" w:space="0" w:color="auto"/>
            </w:tcBorders>
            <w:shd w:val="clear" w:color="auto" w:fill="auto"/>
            <w:vAlign w:val="center"/>
          </w:tcPr>
          <w:p w:rsidR="00F925EF" w:rsidRPr="00C44583" w:rsidRDefault="00F925EF" w:rsidP="00F925EF">
            <w:pPr>
              <w:jc w:val="center"/>
              <w:rPr>
                <w:rFonts w:ascii="Times New Roman" w:hAnsi="Times New Roman" w:cs="Times New Roman"/>
                <w:b/>
                <w:bCs/>
                <w:color w:val="000000"/>
                <w:sz w:val="14"/>
                <w:szCs w:val="14"/>
              </w:rPr>
            </w:pPr>
            <w:r w:rsidRPr="00C44583">
              <w:rPr>
                <w:rFonts w:ascii="Times New Roman" w:hAnsi="Times New Roman" w:cs="Times New Roman"/>
                <w:b/>
                <w:bCs/>
                <w:color w:val="000000"/>
                <w:sz w:val="14"/>
                <w:szCs w:val="14"/>
              </w:rPr>
              <w:t>Сумма без НДС</w:t>
            </w:r>
          </w:p>
        </w:tc>
      </w:tr>
      <w:tr w:rsidR="00F925EF" w:rsidRPr="00F925EF" w:rsidTr="00F925EF">
        <w:tc>
          <w:tcPr>
            <w:tcW w:w="132" w:type="pct"/>
            <w:vMerge w:val="restar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1</w:t>
            </w:r>
          </w:p>
        </w:tc>
        <w:tc>
          <w:tcPr>
            <w:tcW w:w="579" w:type="pct"/>
            <w:vMerge w:val="restart"/>
            <w:shd w:val="clear" w:color="auto" w:fill="FFFFFF" w:themeFill="background1"/>
          </w:tcPr>
          <w:p w:rsidR="00F925EF" w:rsidRPr="00F925EF" w:rsidRDefault="00F925EF" w:rsidP="00282086">
            <w:pPr>
              <w:shd w:val="clear" w:color="auto" w:fill="FFFFFF" w:themeFill="background1"/>
              <w:jc w:val="center"/>
              <w:rPr>
                <w:rFonts w:ascii="Times New Roman" w:hAnsi="Times New Roman" w:cs="Times New Roman"/>
                <w:sz w:val="14"/>
                <w:szCs w:val="14"/>
              </w:rPr>
            </w:pPr>
            <w:r w:rsidRPr="00F925EF">
              <w:rPr>
                <w:rFonts w:ascii="Times New Roman" w:hAnsi="Times New Roman" w:cs="Times New Roman"/>
                <w:sz w:val="14"/>
                <w:szCs w:val="14"/>
              </w:rPr>
              <w:t>Кювета для лабораторного анализатора ИВД, одноразового использования</w:t>
            </w:r>
          </w:p>
          <w:p w:rsidR="00F925EF" w:rsidRPr="00F925EF" w:rsidRDefault="00F925EF" w:rsidP="00282086">
            <w:pPr>
              <w:jc w:val="center"/>
              <w:rPr>
                <w:rFonts w:ascii="Times New Roman" w:hAnsi="Times New Roman" w:cs="Times New Roman"/>
                <w:sz w:val="14"/>
                <w:szCs w:val="14"/>
              </w:rPr>
            </w:pPr>
          </w:p>
        </w:tc>
        <w:tc>
          <w:tcPr>
            <w:tcW w:w="308" w:type="pct"/>
            <w:vMerge w:val="restar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32.50.50.190-00002993</w:t>
            </w:r>
            <w:r>
              <w:rPr>
                <w:rFonts w:ascii="Times New Roman" w:hAnsi="Times New Roman" w:cs="Times New Roman"/>
                <w:sz w:val="14"/>
                <w:szCs w:val="14"/>
              </w:rPr>
              <w:t>*</w:t>
            </w:r>
          </w:p>
        </w:tc>
        <w:tc>
          <w:tcPr>
            <w:tcW w:w="308" w:type="pct"/>
            <w:vMerge w:val="restart"/>
            <w:shd w:val="clear" w:color="auto" w:fill="FFFFFF" w:themeFill="background1"/>
          </w:tcPr>
          <w:p w:rsidR="00F925EF" w:rsidRPr="00F925EF" w:rsidRDefault="00F925EF" w:rsidP="00282086">
            <w:pPr>
              <w:jc w:val="center"/>
              <w:rPr>
                <w:rFonts w:ascii="Times New Roman" w:hAnsi="Times New Roman" w:cs="Times New Roman"/>
                <w:sz w:val="14"/>
                <w:szCs w:val="14"/>
              </w:rPr>
            </w:pPr>
            <w:r>
              <w:rPr>
                <w:rFonts w:ascii="Times New Roman" w:hAnsi="Times New Roman" w:cs="Times New Roman"/>
                <w:sz w:val="14"/>
                <w:szCs w:val="14"/>
              </w:rPr>
              <w:t>8</w:t>
            </w:r>
          </w:p>
        </w:tc>
        <w:tc>
          <w:tcPr>
            <w:tcW w:w="308" w:type="pct"/>
            <w:vMerge w:val="restar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Штука</w:t>
            </w: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b/>
                <w:sz w:val="14"/>
                <w:szCs w:val="14"/>
              </w:rPr>
              <w:t>Характеристики в соответствии с КТРУ:</w:t>
            </w:r>
          </w:p>
        </w:tc>
        <w:tc>
          <w:tcPr>
            <w:tcW w:w="441"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320"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35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47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228" w:type="pct"/>
            <w:vMerge w:val="restart"/>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val="restart"/>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val="restart"/>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0" w:type="pct"/>
            <w:vMerge w:val="restart"/>
            <w:shd w:val="clear" w:color="auto" w:fill="FFFFFF" w:themeFill="background1"/>
          </w:tcPr>
          <w:p w:rsidR="00F925EF" w:rsidRPr="00F925EF" w:rsidRDefault="00F925EF" w:rsidP="00282086">
            <w:pPr>
              <w:jc w:val="center"/>
              <w:rPr>
                <w:rFonts w:ascii="Times New Roman" w:hAnsi="Times New Roman" w:cs="Times New Roman"/>
                <w:sz w:val="14"/>
                <w:szCs w:val="14"/>
              </w:rPr>
            </w:pPr>
          </w:p>
        </w:tc>
      </w:tr>
      <w:tr w:rsidR="00F925EF" w:rsidRPr="00F925EF" w:rsidTr="00F925EF">
        <w:tc>
          <w:tcPr>
            <w:tcW w:w="132"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579"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442" w:type="pct"/>
            <w:shd w:val="clear" w:color="auto" w:fill="FFFFFF" w:themeFill="background1"/>
            <w:vAlign w:val="center"/>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Качественная</w:t>
            </w:r>
          </w:p>
        </w:tc>
        <w:tc>
          <w:tcPr>
            <w:tcW w:w="441" w:type="pct"/>
            <w:shd w:val="clear" w:color="auto" w:fill="FFFFFF" w:themeFill="background1"/>
            <w:vAlign w:val="center"/>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shd w:val="clear" w:color="auto" w:fill="FFFFFF"/>
              </w:rPr>
              <w:t>Назначение</w:t>
            </w:r>
          </w:p>
        </w:tc>
        <w:tc>
          <w:tcPr>
            <w:tcW w:w="320"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 xml:space="preserve">Для анализаторов серии Сobas </w:t>
            </w:r>
          </w:p>
        </w:tc>
        <w:tc>
          <w:tcPr>
            <w:tcW w:w="35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47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Значение характеристики не может изменятся участником закупки</w:t>
            </w:r>
          </w:p>
        </w:tc>
        <w:tc>
          <w:tcPr>
            <w:tcW w:w="22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0"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r>
      <w:tr w:rsidR="00F925EF" w:rsidRPr="00F925EF" w:rsidTr="00F925EF">
        <w:tc>
          <w:tcPr>
            <w:tcW w:w="132"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579"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b/>
                <w:sz w:val="14"/>
                <w:szCs w:val="14"/>
              </w:rPr>
              <w:t>Дополнительные характеристики:</w:t>
            </w:r>
          </w:p>
        </w:tc>
        <w:tc>
          <w:tcPr>
            <w:tcW w:w="441"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320"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35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47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22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0"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r>
      <w:tr w:rsidR="00F925EF" w:rsidRPr="00F925EF" w:rsidTr="00F925EF">
        <w:tc>
          <w:tcPr>
            <w:tcW w:w="132"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579"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Качественная</w:t>
            </w:r>
          </w:p>
        </w:tc>
        <w:tc>
          <w:tcPr>
            <w:tcW w:w="441"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Описание: для количественного in vitro определения эритроцитов и лейкоцитов, полуколичественного определения клеток плоского эпителия и неплоскоклеточных эпителиальных клеток, бактерий, гиалиновых цилиндров и качественного определения патологических цилиндров, кристаллов, дрожжей, слизи и спермы в моче при использовании автоматического анализатора осадка мочи cobas u 701</w:t>
            </w:r>
          </w:p>
        </w:tc>
        <w:tc>
          <w:tcPr>
            <w:tcW w:w="320" w:type="pct"/>
            <w:shd w:val="clear" w:color="auto" w:fill="FFFFFF" w:themeFill="background1"/>
            <w:vAlign w:val="center"/>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Наличие</w:t>
            </w:r>
          </w:p>
        </w:tc>
        <w:tc>
          <w:tcPr>
            <w:tcW w:w="355" w:type="pct"/>
            <w:shd w:val="clear" w:color="auto" w:fill="FFFFFF" w:themeFill="background1"/>
            <w:vAlign w:val="center"/>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47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Обусловлено требованиями к оптимизации лабораторных исследований</w:t>
            </w: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Значение характеристики не может изменятся участником закупки</w:t>
            </w:r>
          </w:p>
        </w:tc>
        <w:tc>
          <w:tcPr>
            <w:tcW w:w="22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0"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r>
      <w:tr w:rsidR="00F925EF" w:rsidRPr="00F925EF" w:rsidTr="00F925EF">
        <w:tc>
          <w:tcPr>
            <w:tcW w:w="132"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579"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Качественная</w:t>
            </w:r>
          </w:p>
        </w:tc>
        <w:tc>
          <w:tcPr>
            <w:tcW w:w="441"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Состав</w:t>
            </w:r>
          </w:p>
        </w:tc>
        <w:tc>
          <w:tcPr>
            <w:tcW w:w="320"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Рабочий раствор, готовый к применению</w:t>
            </w:r>
          </w:p>
        </w:tc>
        <w:tc>
          <w:tcPr>
            <w:tcW w:w="35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w:t>
            </w:r>
          </w:p>
        </w:tc>
        <w:tc>
          <w:tcPr>
            <w:tcW w:w="47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Обусловлено требованиями к оптимизации лабораторных исследований</w:t>
            </w: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Значение характеристики не может изменятся участником закупки</w:t>
            </w:r>
          </w:p>
        </w:tc>
        <w:tc>
          <w:tcPr>
            <w:tcW w:w="22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0"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r>
      <w:tr w:rsidR="00F925EF" w:rsidRPr="00F925EF" w:rsidTr="00F925EF">
        <w:tc>
          <w:tcPr>
            <w:tcW w:w="132"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579"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30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Количественная</w:t>
            </w:r>
          </w:p>
        </w:tc>
        <w:tc>
          <w:tcPr>
            <w:tcW w:w="441"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 xml:space="preserve">Количество кювет в кассете </w:t>
            </w:r>
          </w:p>
        </w:tc>
        <w:tc>
          <w:tcPr>
            <w:tcW w:w="320"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Не менее 400</w:t>
            </w:r>
          </w:p>
        </w:tc>
        <w:tc>
          <w:tcPr>
            <w:tcW w:w="35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Штука</w:t>
            </w:r>
          </w:p>
        </w:tc>
        <w:tc>
          <w:tcPr>
            <w:tcW w:w="475"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Обусловлено требованиями к оптимизации лабораторных исследований</w:t>
            </w:r>
          </w:p>
        </w:tc>
        <w:tc>
          <w:tcPr>
            <w:tcW w:w="442" w:type="pct"/>
            <w:shd w:val="clear" w:color="auto" w:fill="FFFFFF" w:themeFill="background1"/>
          </w:tcPr>
          <w:p w:rsidR="00F925EF" w:rsidRPr="00F925EF" w:rsidRDefault="00F925EF" w:rsidP="00282086">
            <w:pPr>
              <w:jc w:val="center"/>
              <w:rPr>
                <w:rFonts w:ascii="Times New Roman" w:hAnsi="Times New Roman" w:cs="Times New Roman"/>
                <w:sz w:val="14"/>
                <w:szCs w:val="14"/>
              </w:rPr>
            </w:pPr>
            <w:r w:rsidRPr="00F925EF">
              <w:rPr>
                <w:rFonts w:ascii="Times New Roman" w:hAnsi="Times New Roman" w:cs="Times New Roman"/>
                <w:sz w:val="14"/>
                <w:szCs w:val="14"/>
              </w:rPr>
              <w:t>Значение характеристики не может изменятся участником закупки</w:t>
            </w:r>
          </w:p>
        </w:tc>
        <w:tc>
          <w:tcPr>
            <w:tcW w:w="228"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1"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c>
          <w:tcPr>
            <w:tcW w:w="220" w:type="pct"/>
            <w:vMerge/>
            <w:shd w:val="clear" w:color="auto" w:fill="FFFFFF" w:themeFill="background1"/>
          </w:tcPr>
          <w:p w:rsidR="00F925EF" w:rsidRPr="00F925EF" w:rsidRDefault="00F925EF" w:rsidP="00282086">
            <w:pPr>
              <w:jc w:val="center"/>
              <w:rPr>
                <w:rFonts w:ascii="Times New Roman" w:hAnsi="Times New Roman" w:cs="Times New Roman"/>
                <w:sz w:val="14"/>
                <w:szCs w:val="14"/>
              </w:rPr>
            </w:pPr>
          </w:p>
        </w:tc>
      </w:tr>
    </w:tbl>
    <w:p w:rsidR="00F925EF" w:rsidRDefault="00F925EF" w:rsidP="00F925EF">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70252" w:rsidRDefault="00170252" w:rsidP="000820E3">
      <w:pPr>
        <w:rPr>
          <w:rFonts w:ascii="Times New Roman" w:hAnsi="Times New Roman" w:cs="Times New Roman"/>
          <w:b/>
          <w:sz w:val="28"/>
          <w:szCs w:val="28"/>
        </w:rPr>
      </w:pPr>
    </w:p>
    <w:sectPr w:rsidR="00170252" w:rsidSect="00F925EF">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E9" w:rsidRDefault="002D58E9">
      <w:pPr>
        <w:spacing w:after="0" w:line="240" w:lineRule="auto"/>
      </w:pPr>
      <w:r>
        <w:separator/>
      </w:r>
    </w:p>
  </w:endnote>
  <w:endnote w:type="continuationSeparator" w:id="0">
    <w:p w:rsidR="002D58E9" w:rsidRDefault="002D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0A63" w:rsidRDefault="00FA0A6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A0A6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A0A6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A0A6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A0A6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925E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A0A6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925E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E9" w:rsidRDefault="002D58E9">
      <w:pPr>
        <w:spacing w:after="0" w:line="240" w:lineRule="auto"/>
      </w:pPr>
      <w:r>
        <w:separator/>
      </w:r>
    </w:p>
  </w:footnote>
  <w:footnote w:type="continuationSeparator" w:id="0">
    <w:p w:rsidR="002D58E9" w:rsidRDefault="002D58E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0A63" w:rsidRDefault="00FA0A6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0A63" w:rsidRDefault="00FA0A6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0A63" w:rsidRDefault="00FA0A6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58E9"/>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925EF"/>
    <w:rsid w:val="00FA0A63"/>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E6D2-8D1E-4C5F-B8E2-CA5F349B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2025-12-10T07:00:00Z</dcterms:created>
  <dcterms:modified xsi:type="dcterms:W3CDTF">2025-12-10T07:00:00Z</dcterms:modified>
</cp:coreProperties>
</file>