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25.12.2025 № 21.1-03/2549</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23.01.2026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86F4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4226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научной лаборатории субклеточных технологий с группой онкоэндокринологии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4226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4226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4226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1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610"/>
        <w:gridCol w:w="5207"/>
        <w:gridCol w:w="1092"/>
        <w:gridCol w:w="941"/>
        <w:gridCol w:w="1552"/>
        <w:gridCol w:w="1398"/>
        <w:gridCol w:w="789"/>
        <w:gridCol w:w="1089"/>
        <w:gridCol w:w="1107"/>
      </w:tblGrid>
      <w:tr w:rsidR="00B4226E" w:rsidTr="00D366DA">
        <w:trPr>
          <w:trHeight w:val="524"/>
          <w:jc w:val="center"/>
        </w:trPr>
        <w:tc>
          <w:tcPr>
            <w:tcW w:w="482"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 п/п</w:t>
            </w:r>
          </w:p>
        </w:tc>
        <w:tc>
          <w:tcPr>
            <w:tcW w:w="2618"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Наименование товара</w:t>
            </w:r>
          </w:p>
        </w:tc>
        <w:tc>
          <w:tcPr>
            <w:tcW w:w="5223"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Требования к качеству, техническим и функциональным характеристикам товара</w:t>
            </w:r>
          </w:p>
        </w:tc>
        <w:tc>
          <w:tcPr>
            <w:tcW w:w="1095"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Кол-во</w:t>
            </w:r>
          </w:p>
        </w:tc>
        <w:tc>
          <w:tcPr>
            <w:tcW w:w="943"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Ед. изм.</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ОКПД2/ КТРУ</w:t>
            </w:r>
          </w:p>
        </w:tc>
        <w:tc>
          <w:tcPr>
            <w:tcW w:w="140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4226E" w:rsidRDefault="00B4226E" w:rsidP="00D366DA">
            <w:pPr>
              <w:pStyle w:val="af7"/>
              <w:spacing w:line="276" w:lineRule="auto"/>
              <w:jc w:val="center"/>
              <w:rPr>
                <w:rFonts w:ascii="Times New Roman" w:hAnsi="Times New Roman"/>
                <w:b/>
                <w:sz w:val="20"/>
                <w:szCs w:val="20"/>
                <w:lang w:eastAsia="en-US"/>
              </w:rPr>
            </w:pPr>
            <w:r>
              <w:rPr>
                <w:rFonts w:ascii="Times New Roman" w:hAnsi="Times New Roman"/>
                <w:b/>
                <w:sz w:val="20"/>
                <w:szCs w:val="20"/>
                <w:lang w:eastAsia="en-US"/>
              </w:rPr>
              <w:t>Страна происхождения</w:t>
            </w:r>
          </w:p>
        </w:tc>
        <w:tc>
          <w:tcPr>
            <w:tcW w:w="79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4226E" w:rsidRDefault="00B4226E" w:rsidP="00D366DA">
            <w:pPr>
              <w:pStyle w:val="af7"/>
              <w:spacing w:line="276" w:lineRule="auto"/>
              <w:jc w:val="center"/>
              <w:rPr>
                <w:rFonts w:ascii="Times New Roman" w:hAnsi="Times New Roman"/>
                <w:b/>
                <w:lang w:eastAsia="en-US"/>
              </w:rPr>
            </w:pPr>
            <w:r>
              <w:rPr>
                <w:rFonts w:ascii="Times New Roman" w:hAnsi="Times New Roman"/>
                <w:b/>
                <w:lang w:eastAsia="en-US"/>
              </w:rPr>
              <w:t>НДС %</w:t>
            </w:r>
          </w:p>
        </w:tc>
        <w:tc>
          <w:tcPr>
            <w:tcW w:w="1092"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4226E" w:rsidRDefault="00B4226E" w:rsidP="00D366DA">
            <w:pPr>
              <w:pStyle w:val="af7"/>
              <w:spacing w:line="276" w:lineRule="auto"/>
              <w:jc w:val="center"/>
              <w:rPr>
                <w:rFonts w:ascii="Times New Roman" w:hAnsi="Times New Roman"/>
                <w:b/>
                <w:lang w:eastAsia="en-US"/>
              </w:rPr>
            </w:pPr>
            <w:r>
              <w:rPr>
                <w:rFonts w:ascii="Times New Roman" w:hAnsi="Times New Roman"/>
                <w:b/>
                <w:lang w:eastAsia="en-US"/>
              </w:rPr>
              <w:t>Цена за ед. с НДС (руб.)</w:t>
            </w:r>
          </w:p>
        </w:tc>
        <w:tc>
          <w:tcPr>
            <w:tcW w:w="11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B4226E" w:rsidRDefault="00B4226E" w:rsidP="00D366DA">
            <w:pPr>
              <w:pStyle w:val="af7"/>
              <w:spacing w:line="276" w:lineRule="auto"/>
              <w:jc w:val="center"/>
              <w:rPr>
                <w:rFonts w:ascii="Times New Roman" w:hAnsi="Times New Roman"/>
                <w:b/>
                <w:lang w:eastAsia="en-US"/>
              </w:rPr>
            </w:pPr>
            <w:r>
              <w:rPr>
                <w:rFonts w:ascii="Times New Roman" w:hAnsi="Times New Roman"/>
                <w:b/>
                <w:lang w:eastAsia="en-US"/>
              </w:rPr>
              <w:t>Сумма с</w:t>
            </w:r>
          </w:p>
          <w:p w:rsidR="00B4226E" w:rsidRDefault="00B4226E" w:rsidP="00D366DA">
            <w:pPr>
              <w:pStyle w:val="af7"/>
              <w:spacing w:line="276" w:lineRule="auto"/>
              <w:jc w:val="center"/>
              <w:rPr>
                <w:rFonts w:ascii="Times New Roman" w:hAnsi="Times New Roman"/>
                <w:b/>
                <w:lang w:eastAsia="en-US"/>
              </w:rPr>
            </w:pPr>
            <w:r>
              <w:rPr>
                <w:rFonts w:ascii="Times New Roman" w:hAnsi="Times New Roman"/>
                <w:b/>
                <w:lang w:eastAsia="en-US"/>
              </w:rPr>
              <w:t>НДС (руб.)</w:t>
            </w:r>
          </w:p>
        </w:tc>
      </w:tr>
      <w:tr w:rsidR="00B4226E" w:rsidTr="00B4226E">
        <w:trPr>
          <w:trHeight w:val="640"/>
          <w:jc w:val="center"/>
        </w:trPr>
        <w:tc>
          <w:tcPr>
            <w:tcW w:w="482" w:type="dxa"/>
            <w:tcBorders>
              <w:top w:val="single" w:sz="4" w:space="0" w:color="auto"/>
              <w:left w:val="single" w:sz="4" w:space="0" w:color="auto"/>
              <w:bottom w:val="single" w:sz="4" w:space="0" w:color="auto"/>
              <w:right w:val="single" w:sz="4" w:space="0" w:color="auto"/>
            </w:tcBorders>
            <w:hideMark/>
          </w:tcPr>
          <w:p w:rsidR="00B4226E" w:rsidRPr="004271FC" w:rsidRDefault="00B4226E" w:rsidP="00D366DA">
            <w:pPr>
              <w:pStyle w:val="af7"/>
              <w:spacing w:line="276" w:lineRule="auto"/>
              <w:rPr>
                <w:rFonts w:ascii="Times New Roman" w:hAnsi="Times New Roman"/>
                <w:lang w:eastAsia="en-US"/>
              </w:rPr>
            </w:pPr>
            <w:r w:rsidRPr="004271FC">
              <w:rPr>
                <w:rFonts w:ascii="Times New Roman" w:hAnsi="Times New Roman"/>
                <w:lang w:eastAsia="en-US"/>
              </w:rPr>
              <w:t>1</w:t>
            </w:r>
          </w:p>
        </w:tc>
        <w:tc>
          <w:tcPr>
            <w:tcW w:w="2618" w:type="dxa"/>
            <w:tcBorders>
              <w:top w:val="single" w:sz="4" w:space="0" w:color="auto"/>
              <w:left w:val="single" w:sz="4" w:space="0" w:color="auto"/>
              <w:bottom w:val="single" w:sz="4" w:space="0" w:color="auto"/>
              <w:right w:val="single" w:sz="4" w:space="0" w:color="auto"/>
            </w:tcBorders>
          </w:tcPr>
          <w:p w:rsidR="00B4226E" w:rsidRPr="004271FC" w:rsidRDefault="00B4226E" w:rsidP="00D366DA">
            <w:pPr>
              <w:pStyle w:val="af7"/>
              <w:tabs>
                <w:tab w:val="left" w:pos="432"/>
              </w:tabs>
              <w:jc w:val="center"/>
              <w:rPr>
                <w:rFonts w:ascii="Times New Roman" w:hAnsi="Times New Roman"/>
                <w:lang w:eastAsia="en-US"/>
              </w:rPr>
            </w:pPr>
            <w:r w:rsidRPr="004271FC">
              <w:rPr>
                <w:rFonts w:ascii="Times New Roman" w:hAnsi="Times New Roman"/>
                <w:lang w:eastAsia="en-US"/>
              </w:rPr>
              <w:t xml:space="preserve">Обратная транскриптаза </w:t>
            </w:r>
          </w:p>
          <w:p w:rsidR="00B4226E" w:rsidRPr="004271FC" w:rsidRDefault="00B4226E" w:rsidP="00D366DA">
            <w:pPr>
              <w:pStyle w:val="af7"/>
              <w:tabs>
                <w:tab w:val="left" w:pos="432"/>
              </w:tabs>
              <w:spacing w:line="276" w:lineRule="auto"/>
              <w:jc w:val="center"/>
              <w:rPr>
                <w:rFonts w:ascii="Times New Roman" w:hAnsi="Times New Roman"/>
                <w:lang w:eastAsia="en-US"/>
              </w:rPr>
            </w:pPr>
          </w:p>
        </w:tc>
        <w:tc>
          <w:tcPr>
            <w:tcW w:w="5223" w:type="dxa"/>
            <w:tcBorders>
              <w:top w:val="single" w:sz="4" w:space="0" w:color="auto"/>
              <w:left w:val="single" w:sz="4" w:space="0" w:color="auto"/>
              <w:bottom w:val="single" w:sz="4" w:space="0" w:color="auto"/>
              <w:right w:val="single" w:sz="4" w:space="0" w:color="auto"/>
            </w:tcBorders>
            <w:shd w:val="clear" w:color="auto" w:fill="FFFFFF" w:themeFill="background1"/>
          </w:tcPr>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Обратная транскриптаза «ALZYME RT»</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100000 единиц активности</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5х буфер</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ТУ BY 193208315.043-2022, кат. ZR-043-100KU</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Источник рекомбинантный штамм Е. coli, экспрессирующий модифицированный ген обратной транскриптазы вируса лейкоза кошек</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 xml:space="preserve">Количество не более 500 мкл </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 xml:space="preserve">Возможность проведения  </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ОТ-ПЦР «в одной пробирке» с использованием ДНК-полимеразы</w:t>
            </w:r>
          </w:p>
          <w:p w:rsidR="00950BB8" w:rsidRPr="00950BB8" w:rsidRDefault="00950BB8" w:rsidP="00950BB8">
            <w:pPr>
              <w:pStyle w:val="af7"/>
              <w:rPr>
                <w:rFonts w:ascii="Times New Roman" w:hAnsi="Times New Roman"/>
                <w:lang w:eastAsia="en-US"/>
              </w:rPr>
            </w:pPr>
            <w:r w:rsidRPr="00950BB8">
              <w:rPr>
                <w:rFonts w:ascii="Times New Roman" w:hAnsi="Times New Roman"/>
                <w:lang w:eastAsia="en-US"/>
              </w:rPr>
              <w:t>Возможность синтеза фрагментов кДНК длиной до 12000 п.н.</w:t>
            </w:r>
          </w:p>
          <w:p w:rsidR="00B4226E" w:rsidRPr="004271FC" w:rsidRDefault="00950BB8" w:rsidP="00950BB8">
            <w:pPr>
              <w:pStyle w:val="af7"/>
              <w:spacing w:line="276" w:lineRule="auto"/>
              <w:rPr>
                <w:rFonts w:ascii="Times New Roman" w:hAnsi="Times New Roman"/>
                <w:lang w:eastAsia="en-US"/>
              </w:rPr>
            </w:pPr>
            <w:r w:rsidRPr="00950BB8">
              <w:rPr>
                <w:rFonts w:ascii="Times New Roman" w:hAnsi="Times New Roman"/>
                <w:lang w:eastAsia="en-US"/>
              </w:rPr>
              <w:t>Отсутствие активности РНКазы Н</w:t>
            </w:r>
          </w:p>
        </w:tc>
        <w:tc>
          <w:tcPr>
            <w:tcW w:w="1095" w:type="dxa"/>
            <w:tcBorders>
              <w:top w:val="single" w:sz="4" w:space="0" w:color="auto"/>
              <w:left w:val="single" w:sz="4" w:space="0" w:color="auto"/>
              <w:bottom w:val="single" w:sz="4" w:space="0" w:color="auto"/>
              <w:right w:val="single" w:sz="4" w:space="0" w:color="auto"/>
            </w:tcBorders>
          </w:tcPr>
          <w:p w:rsidR="00B4226E" w:rsidRDefault="007839D6" w:rsidP="00D366DA">
            <w:pPr>
              <w:pStyle w:val="af7"/>
              <w:spacing w:line="276" w:lineRule="auto"/>
              <w:jc w:val="center"/>
              <w:rPr>
                <w:rFonts w:ascii="Times New Roman" w:hAnsi="Times New Roman"/>
                <w:lang w:eastAsia="en-US"/>
              </w:rPr>
            </w:pPr>
            <w:r>
              <w:rPr>
                <w:rFonts w:ascii="Times New Roman" w:hAnsi="Times New Roman"/>
                <w:lang w:eastAsia="en-US"/>
              </w:rPr>
              <w:t>4</w:t>
            </w:r>
          </w:p>
        </w:tc>
        <w:tc>
          <w:tcPr>
            <w:tcW w:w="943" w:type="dxa"/>
            <w:tcBorders>
              <w:top w:val="single" w:sz="4" w:space="0" w:color="auto"/>
              <w:left w:val="single" w:sz="4" w:space="0" w:color="auto"/>
              <w:bottom w:val="single" w:sz="4" w:space="0" w:color="auto"/>
              <w:right w:val="single" w:sz="4" w:space="0" w:color="auto"/>
            </w:tcBorders>
          </w:tcPr>
          <w:p w:rsidR="00B4226E" w:rsidRDefault="00B4226E" w:rsidP="00D366DA">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556" w:type="dxa"/>
            <w:tcBorders>
              <w:top w:val="single" w:sz="4" w:space="0" w:color="auto"/>
              <w:left w:val="single" w:sz="4" w:space="0" w:color="auto"/>
              <w:bottom w:val="single" w:sz="4" w:space="0" w:color="auto"/>
              <w:right w:val="single" w:sz="4" w:space="0" w:color="auto"/>
            </w:tcBorders>
          </w:tcPr>
          <w:p w:rsidR="00B4226E" w:rsidRDefault="00B4226E" w:rsidP="00D366DA">
            <w:pPr>
              <w:pStyle w:val="af7"/>
              <w:spacing w:line="276" w:lineRule="auto"/>
              <w:jc w:val="center"/>
              <w:rPr>
                <w:rFonts w:ascii="Times New Roman" w:hAnsi="Times New Roman"/>
                <w:lang w:eastAsia="en-US"/>
              </w:rPr>
            </w:pPr>
            <w:r>
              <w:rPr>
                <w:rFonts w:ascii="Times New Roman" w:hAnsi="Times New Roman"/>
                <w:lang w:eastAsia="en-US"/>
              </w:rPr>
              <w:t>20.59.52.199</w:t>
            </w:r>
          </w:p>
        </w:tc>
        <w:tc>
          <w:tcPr>
            <w:tcW w:w="1402" w:type="dxa"/>
            <w:tcBorders>
              <w:top w:val="single" w:sz="4" w:space="0" w:color="auto"/>
              <w:left w:val="single" w:sz="4" w:space="0" w:color="auto"/>
              <w:bottom w:val="single" w:sz="4" w:space="0" w:color="auto"/>
              <w:right w:val="single" w:sz="4" w:space="0" w:color="auto"/>
            </w:tcBorders>
            <w:shd w:val="clear" w:color="auto" w:fill="FFFFCC"/>
          </w:tcPr>
          <w:p w:rsidR="00B4226E" w:rsidRDefault="00B4226E" w:rsidP="00D366DA">
            <w:pPr>
              <w:pStyle w:val="af7"/>
              <w:spacing w:line="276" w:lineRule="auto"/>
              <w:rPr>
                <w:rFonts w:ascii="Times New Roman" w:hAnsi="Times New Roman"/>
                <w:lang w:eastAsia="en-US"/>
              </w:rPr>
            </w:pPr>
          </w:p>
        </w:tc>
        <w:tc>
          <w:tcPr>
            <w:tcW w:w="791" w:type="dxa"/>
            <w:tcBorders>
              <w:top w:val="single" w:sz="4" w:space="0" w:color="auto"/>
              <w:left w:val="single" w:sz="4" w:space="0" w:color="auto"/>
              <w:bottom w:val="single" w:sz="4" w:space="0" w:color="auto"/>
              <w:right w:val="single" w:sz="4" w:space="0" w:color="auto"/>
            </w:tcBorders>
            <w:shd w:val="clear" w:color="auto" w:fill="FFFFCC"/>
          </w:tcPr>
          <w:p w:rsidR="00B4226E" w:rsidRDefault="00B4226E" w:rsidP="00D366DA">
            <w:pPr>
              <w:pStyle w:val="af7"/>
              <w:spacing w:line="276" w:lineRule="auto"/>
              <w:rPr>
                <w:rFonts w:ascii="Times New Roman" w:hAnsi="Times New Roman"/>
                <w:lang w:eastAsia="en-US"/>
              </w:rPr>
            </w:pPr>
          </w:p>
        </w:tc>
        <w:tc>
          <w:tcPr>
            <w:tcW w:w="1092" w:type="dxa"/>
            <w:tcBorders>
              <w:top w:val="single" w:sz="4" w:space="0" w:color="auto"/>
              <w:left w:val="single" w:sz="4" w:space="0" w:color="auto"/>
              <w:bottom w:val="single" w:sz="4" w:space="0" w:color="auto"/>
              <w:right w:val="single" w:sz="4" w:space="0" w:color="auto"/>
            </w:tcBorders>
            <w:shd w:val="clear" w:color="auto" w:fill="FFFFCC"/>
          </w:tcPr>
          <w:p w:rsidR="00B4226E" w:rsidRDefault="00B4226E" w:rsidP="00D366DA">
            <w:pPr>
              <w:pStyle w:val="af7"/>
              <w:spacing w:line="276" w:lineRule="auto"/>
              <w:rPr>
                <w:rFonts w:ascii="Times New Roman" w:hAnsi="Times New Roman"/>
                <w:lang w:eastAsia="en-US"/>
              </w:rPr>
            </w:pPr>
          </w:p>
        </w:tc>
        <w:tc>
          <w:tcPr>
            <w:tcW w:w="1110" w:type="dxa"/>
            <w:tcBorders>
              <w:top w:val="single" w:sz="4" w:space="0" w:color="auto"/>
              <w:left w:val="single" w:sz="4" w:space="0" w:color="auto"/>
              <w:bottom w:val="single" w:sz="4" w:space="0" w:color="auto"/>
              <w:right w:val="single" w:sz="4" w:space="0" w:color="auto"/>
            </w:tcBorders>
            <w:shd w:val="clear" w:color="auto" w:fill="FFFFCC"/>
          </w:tcPr>
          <w:p w:rsidR="00B4226E" w:rsidRDefault="00B4226E" w:rsidP="00D366DA">
            <w:pPr>
              <w:pStyle w:val="af7"/>
              <w:spacing w:line="276" w:lineRule="auto"/>
              <w:rPr>
                <w:rFonts w:ascii="Times New Roman" w:hAnsi="Times New Roman"/>
                <w:lang w:eastAsia="en-US"/>
              </w:rPr>
            </w:pPr>
          </w:p>
        </w:tc>
      </w:tr>
    </w:tbl>
    <w:p w:rsidR="00170252" w:rsidRDefault="00170252" w:rsidP="000820E3">
      <w:pPr>
        <w:rPr>
          <w:rFonts w:ascii="Times New Roman" w:hAnsi="Times New Roman" w:cs="Times New Roman"/>
          <w:b/>
          <w:sz w:val="28"/>
          <w:szCs w:val="28"/>
        </w:rPr>
      </w:pPr>
      <w:bookmarkStart w:id="20" w:name="_GoBack"/>
      <w:bookmarkEnd w:id="20"/>
    </w:p>
    <w:sectPr w:rsidR="00170252" w:rsidSect="00B4226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5D6" w:rsidRDefault="000E55D6">
      <w:pPr>
        <w:spacing w:after="0" w:line="240" w:lineRule="auto"/>
      </w:pPr>
      <w:r>
        <w:separator/>
      </w:r>
    </w:p>
  </w:endnote>
  <w:endnote w:type="continuationSeparator" w:id="0">
    <w:p w:rsidR="000E55D6" w:rsidRDefault="000E5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F48" w:rsidRDefault="00586F4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6F4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839D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E55D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E55D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839D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E55D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839D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5D6" w:rsidRDefault="000E55D6">
      <w:pPr>
        <w:spacing w:after="0" w:line="240" w:lineRule="auto"/>
      </w:pPr>
      <w:r>
        <w:separator/>
      </w:r>
    </w:p>
  </w:footnote>
  <w:footnote w:type="continuationSeparator" w:id="0">
    <w:p w:rsidR="000E55D6" w:rsidRDefault="000E55D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F48" w:rsidRDefault="00586F4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F48" w:rsidRDefault="00586F4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6F48" w:rsidRDefault="00586F4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55D6"/>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6F48"/>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4EF6"/>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39D6"/>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0BB8"/>
    <w:rsid w:val="00964265"/>
    <w:rsid w:val="00971FDB"/>
    <w:rsid w:val="009765E0"/>
    <w:rsid w:val="009840D8"/>
    <w:rsid w:val="00991266"/>
    <w:rsid w:val="009938B0"/>
    <w:rsid w:val="009A0334"/>
    <w:rsid w:val="009A2C92"/>
    <w:rsid w:val="009B40C9"/>
    <w:rsid w:val="009D1527"/>
    <w:rsid w:val="009D408E"/>
    <w:rsid w:val="009E0E6A"/>
    <w:rsid w:val="009E14D4"/>
    <w:rsid w:val="009E40D2"/>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226E"/>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48427"/>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6657-743A-40CD-9A6A-8A24728C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5</cp:revision>
  <cp:lastPrinted>2018-01-19T15:25:00Z</cp:lastPrinted>
  <dcterms:created xsi:type="dcterms:W3CDTF">2025-12-25T11:01:00Z</dcterms:created>
  <dcterms:modified xsi:type="dcterms:W3CDTF">2026-01-19T08:41:00Z</dcterms:modified>
</cp:coreProperties>
</file>