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B5552CE" wp14:editId="03567857">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26.07.2021 № 21.1-03/703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29.07.2021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E6119">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046"/>
        <w:gridCol w:w="7305"/>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расходного материала для плазмафереза</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Договора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14 (четырнадцати) рабочих дней с момента заключения Договора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(одна) партия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 xml:space="preserve">апреты, ограничения допуска, условия допуска (преференции) </w:t>
            </w:r>
            <w:r w:rsidR="000F0075" w:rsidRPr="00450429">
              <w:rPr>
                <w:rFonts w:ascii="Times New Roman" w:hAnsi="Times New Roman" w:cs="Times New Roman"/>
                <w:sz w:val="24"/>
                <w:szCs w:val="26"/>
              </w:rPr>
              <w:lastRenderedPageBreak/>
              <w:t>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0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5386"/>
        <w:gridCol w:w="709"/>
        <w:gridCol w:w="1134"/>
        <w:gridCol w:w="1559"/>
        <w:gridCol w:w="1162"/>
        <w:gridCol w:w="852"/>
        <w:gridCol w:w="1417"/>
        <w:gridCol w:w="1418"/>
      </w:tblGrid>
      <w:tr w:rsidR="00B23B38" w:rsidRPr="00F91485" w:rsidTr="00DE3870">
        <w:trPr>
          <w:trHeight w:val="729"/>
        </w:trPr>
        <w:tc>
          <w:tcPr>
            <w:tcW w:w="568" w:type="dxa"/>
            <w:hideMark/>
          </w:tcPr>
          <w:p w:rsidR="00B23B38" w:rsidRPr="00F91485" w:rsidRDefault="00B23B38" w:rsidP="00DE3870">
            <w:pPr>
              <w:spacing w:after="0"/>
              <w:jc w:val="center"/>
              <w:rPr>
                <w:rFonts w:ascii="Times New Roman" w:hAnsi="Times New Roman"/>
                <w:b/>
                <w:bCs/>
                <w:sz w:val="20"/>
                <w:szCs w:val="20"/>
              </w:rPr>
            </w:pPr>
            <w:r w:rsidRPr="00F91485">
              <w:rPr>
                <w:rFonts w:ascii="Times New Roman" w:hAnsi="Times New Roman"/>
                <w:b/>
                <w:bCs/>
                <w:sz w:val="20"/>
                <w:szCs w:val="20"/>
              </w:rPr>
              <w:t>№</w:t>
            </w:r>
          </w:p>
        </w:tc>
        <w:tc>
          <w:tcPr>
            <w:tcW w:w="1843" w:type="dxa"/>
            <w:hideMark/>
          </w:tcPr>
          <w:p w:rsidR="00B23B38" w:rsidRPr="00F91485" w:rsidRDefault="00B23B38" w:rsidP="00DE3870">
            <w:pPr>
              <w:spacing w:after="0"/>
              <w:jc w:val="center"/>
              <w:rPr>
                <w:rFonts w:ascii="Times New Roman" w:hAnsi="Times New Roman"/>
                <w:b/>
                <w:bCs/>
                <w:sz w:val="20"/>
                <w:szCs w:val="20"/>
              </w:rPr>
            </w:pPr>
            <w:r w:rsidRPr="00F91485">
              <w:rPr>
                <w:rFonts w:ascii="Times New Roman" w:hAnsi="Times New Roman"/>
                <w:b/>
                <w:bCs/>
                <w:sz w:val="20"/>
                <w:szCs w:val="20"/>
              </w:rPr>
              <w:t>Наименование товара</w:t>
            </w:r>
          </w:p>
        </w:tc>
        <w:tc>
          <w:tcPr>
            <w:tcW w:w="5386" w:type="dxa"/>
            <w:hideMark/>
          </w:tcPr>
          <w:p w:rsidR="00B23B38" w:rsidRPr="00F91485" w:rsidRDefault="00B23B38" w:rsidP="00DE3870">
            <w:pPr>
              <w:spacing w:after="0"/>
              <w:jc w:val="center"/>
              <w:rPr>
                <w:rFonts w:ascii="Times New Roman" w:hAnsi="Times New Roman"/>
                <w:b/>
                <w:bCs/>
                <w:sz w:val="20"/>
                <w:szCs w:val="20"/>
              </w:rPr>
            </w:pPr>
            <w:r w:rsidRPr="00F91485">
              <w:rPr>
                <w:rFonts w:ascii="Times New Roman" w:hAnsi="Times New Roman"/>
                <w:b/>
                <w:bCs/>
                <w:sz w:val="20"/>
                <w:szCs w:val="20"/>
              </w:rPr>
              <w:t>Технические характеристики</w:t>
            </w:r>
          </w:p>
        </w:tc>
        <w:tc>
          <w:tcPr>
            <w:tcW w:w="709" w:type="dxa"/>
          </w:tcPr>
          <w:p w:rsidR="00B23B38" w:rsidRPr="00F91485" w:rsidRDefault="00B23B38" w:rsidP="00DE3870">
            <w:pPr>
              <w:spacing w:after="0" w:line="240" w:lineRule="auto"/>
              <w:jc w:val="center"/>
              <w:rPr>
                <w:rFonts w:ascii="Times New Roman" w:hAnsi="Times New Roman"/>
                <w:b/>
                <w:bCs/>
                <w:sz w:val="20"/>
                <w:szCs w:val="20"/>
              </w:rPr>
            </w:pPr>
            <w:r w:rsidRPr="00F91485">
              <w:rPr>
                <w:rFonts w:ascii="Times New Roman" w:hAnsi="Times New Roman"/>
                <w:b/>
                <w:bCs/>
                <w:sz w:val="20"/>
                <w:szCs w:val="20"/>
              </w:rPr>
              <w:t>Кол-во</w:t>
            </w:r>
          </w:p>
        </w:tc>
        <w:tc>
          <w:tcPr>
            <w:tcW w:w="1134" w:type="dxa"/>
          </w:tcPr>
          <w:p w:rsidR="00B23B38" w:rsidRPr="00F91485" w:rsidRDefault="00B23B38" w:rsidP="00DE3870">
            <w:pPr>
              <w:spacing w:after="0" w:line="240" w:lineRule="auto"/>
              <w:jc w:val="center"/>
              <w:rPr>
                <w:rFonts w:ascii="Times New Roman" w:hAnsi="Times New Roman"/>
                <w:b/>
                <w:bCs/>
                <w:sz w:val="20"/>
                <w:szCs w:val="20"/>
              </w:rPr>
            </w:pPr>
            <w:r w:rsidRPr="00F91485">
              <w:rPr>
                <w:rFonts w:ascii="Times New Roman" w:hAnsi="Times New Roman"/>
                <w:b/>
                <w:bCs/>
                <w:sz w:val="20"/>
                <w:szCs w:val="20"/>
              </w:rPr>
              <w:t>Ед. изм.</w:t>
            </w:r>
          </w:p>
        </w:tc>
        <w:tc>
          <w:tcPr>
            <w:tcW w:w="1559" w:type="dxa"/>
          </w:tcPr>
          <w:p w:rsidR="00B23B38" w:rsidRPr="00F91485" w:rsidRDefault="00B23B38" w:rsidP="00DE3870">
            <w:pPr>
              <w:spacing w:after="0" w:line="240" w:lineRule="auto"/>
              <w:jc w:val="center"/>
              <w:rPr>
                <w:rFonts w:ascii="Times New Roman" w:hAnsi="Times New Roman"/>
                <w:b/>
                <w:bCs/>
                <w:sz w:val="20"/>
                <w:szCs w:val="20"/>
              </w:rPr>
            </w:pPr>
            <w:r w:rsidRPr="00F91485">
              <w:rPr>
                <w:rFonts w:ascii="Times New Roman" w:hAnsi="Times New Roman"/>
                <w:b/>
                <w:bCs/>
                <w:sz w:val="20"/>
                <w:szCs w:val="20"/>
              </w:rPr>
              <w:t>ОКПД 2 /КТРУ</w:t>
            </w:r>
          </w:p>
        </w:tc>
        <w:tc>
          <w:tcPr>
            <w:tcW w:w="1162" w:type="dxa"/>
            <w:shd w:val="clear" w:color="auto" w:fill="FFFF00"/>
          </w:tcPr>
          <w:p w:rsidR="00B23B38" w:rsidRPr="00F91485" w:rsidRDefault="00B23B38" w:rsidP="00DE3870">
            <w:pPr>
              <w:spacing w:after="0" w:line="240" w:lineRule="auto"/>
              <w:jc w:val="center"/>
              <w:rPr>
                <w:rFonts w:ascii="Times New Roman" w:hAnsi="Times New Roman"/>
                <w:b/>
                <w:bCs/>
                <w:sz w:val="20"/>
                <w:szCs w:val="20"/>
                <w:highlight w:val="yellow"/>
              </w:rPr>
            </w:pPr>
            <w:r w:rsidRPr="00F91485">
              <w:rPr>
                <w:rFonts w:ascii="Times New Roman" w:hAnsi="Times New Roman"/>
                <w:b/>
                <w:bCs/>
                <w:sz w:val="20"/>
                <w:szCs w:val="20"/>
              </w:rPr>
              <w:t>Страна пр-я</w:t>
            </w:r>
          </w:p>
        </w:tc>
        <w:tc>
          <w:tcPr>
            <w:tcW w:w="852" w:type="dxa"/>
            <w:shd w:val="clear" w:color="auto" w:fill="FFFF00"/>
          </w:tcPr>
          <w:p w:rsidR="00B23B38" w:rsidRPr="00F91485" w:rsidRDefault="00B23B38" w:rsidP="00DE3870">
            <w:pPr>
              <w:widowControl w:val="0"/>
              <w:autoSpaceDE w:val="0"/>
              <w:autoSpaceDN w:val="0"/>
              <w:adjustRightInd w:val="0"/>
              <w:spacing w:after="0" w:line="240" w:lineRule="auto"/>
              <w:jc w:val="center"/>
              <w:rPr>
                <w:rFonts w:ascii="Times New Roman" w:hAnsi="Times New Roman"/>
                <w:b/>
                <w:sz w:val="20"/>
                <w:szCs w:val="20"/>
              </w:rPr>
            </w:pPr>
            <w:r w:rsidRPr="00F91485">
              <w:rPr>
                <w:rFonts w:ascii="Times New Roman" w:hAnsi="Times New Roman"/>
                <w:b/>
                <w:sz w:val="20"/>
                <w:szCs w:val="20"/>
              </w:rPr>
              <w:t xml:space="preserve">НДС </w:t>
            </w:r>
            <w:r>
              <w:rPr>
                <w:rFonts w:ascii="Times New Roman" w:hAnsi="Times New Roman"/>
                <w:b/>
                <w:sz w:val="20"/>
                <w:szCs w:val="20"/>
              </w:rPr>
              <w:t>(</w:t>
            </w:r>
            <w:r w:rsidRPr="00F91485">
              <w:rPr>
                <w:rFonts w:ascii="Times New Roman" w:hAnsi="Times New Roman"/>
                <w:b/>
                <w:sz w:val="20"/>
                <w:szCs w:val="20"/>
              </w:rPr>
              <w:t>%</w:t>
            </w:r>
            <w:r>
              <w:rPr>
                <w:rFonts w:ascii="Times New Roman" w:hAnsi="Times New Roman"/>
                <w:b/>
                <w:sz w:val="20"/>
                <w:szCs w:val="20"/>
              </w:rPr>
              <w:t>)</w:t>
            </w:r>
          </w:p>
        </w:tc>
        <w:tc>
          <w:tcPr>
            <w:tcW w:w="1417" w:type="dxa"/>
            <w:shd w:val="clear" w:color="auto" w:fill="FFFF00"/>
          </w:tcPr>
          <w:p w:rsidR="00B23B38" w:rsidRPr="00F91485" w:rsidRDefault="00B23B38" w:rsidP="00DE3870">
            <w:pPr>
              <w:widowControl w:val="0"/>
              <w:autoSpaceDE w:val="0"/>
              <w:autoSpaceDN w:val="0"/>
              <w:adjustRightInd w:val="0"/>
              <w:spacing w:after="0" w:line="240" w:lineRule="auto"/>
              <w:jc w:val="center"/>
              <w:rPr>
                <w:rFonts w:ascii="Times New Roman" w:hAnsi="Times New Roman"/>
                <w:b/>
                <w:sz w:val="20"/>
                <w:szCs w:val="20"/>
              </w:rPr>
            </w:pPr>
            <w:r w:rsidRPr="00F91485">
              <w:rPr>
                <w:rFonts w:ascii="Times New Roman" w:hAnsi="Times New Roman"/>
                <w:b/>
                <w:sz w:val="20"/>
                <w:szCs w:val="20"/>
              </w:rPr>
              <w:t>Цена за ед. Товара с НДС</w:t>
            </w:r>
          </w:p>
          <w:p w:rsidR="00B23B38" w:rsidRPr="00F91485" w:rsidRDefault="00B23B38" w:rsidP="00DE3870">
            <w:pPr>
              <w:widowControl w:val="0"/>
              <w:autoSpaceDE w:val="0"/>
              <w:autoSpaceDN w:val="0"/>
              <w:adjustRightInd w:val="0"/>
              <w:spacing w:after="0" w:line="240" w:lineRule="auto"/>
              <w:jc w:val="center"/>
              <w:rPr>
                <w:rFonts w:ascii="Times New Roman" w:hAnsi="Times New Roman"/>
                <w:b/>
                <w:sz w:val="20"/>
                <w:szCs w:val="20"/>
              </w:rPr>
            </w:pPr>
            <w:r w:rsidRPr="00F91485">
              <w:rPr>
                <w:rFonts w:ascii="Times New Roman" w:hAnsi="Times New Roman"/>
                <w:b/>
                <w:sz w:val="20"/>
                <w:szCs w:val="20"/>
              </w:rPr>
              <w:t>(руб.)</w:t>
            </w:r>
          </w:p>
        </w:tc>
        <w:tc>
          <w:tcPr>
            <w:tcW w:w="1418" w:type="dxa"/>
            <w:shd w:val="clear" w:color="auto" w:fill="FFFF00"/>
          </w:tcPr>
          <w:p w:rsidR="00B23B38" w:rsidRPr="00F91485" w:rsidRDefault="00B23B38" w:rsidP="00DE3870">
            <w:pPr>
              <w:widowControl w:val="0"/>
              <w:autoSpaceDE w:val="0"/>
              <w:autoSpaceDN w:val="0"/>
              <w:adjustRightInd w:val="0"/>
              <w:spacing w:after="0" w:line="240" w:lineRule="auto"/>
              <w:jc w:val="center"/>
              <w:rPr>
                <w:rFonts w:ascii="Times New Roman" w:hAnsi="Times New Roman"/>
                <w:b/>
                <w:sz w:val="20"/>
                <w:szCs w:val="20"/>
              </w:rPr>
            </w:pPr>
            <w:r w:rsidRPr="00F91485">
              <w:rPr>
                <w:rFonts w:ascii="Times New Roman" w:hAnsi="Times New Roman"/>
                <w:b/>
                <w:sz w:val="20"/>
                <w:szCs w:val="20"/>
              </w:rPr>
              <w:t>Сумма с</w:t>
            </w:r>
          </w:p>
          <w:p w:rsidR="00B23B38" w:rsidRPr="00F91485" w:rsidRDefault="00B23B38" w:rsidP="00DE3870">
            <w:pPr>
              <w:widowControl w:val="0"/>
              <w:autoSpaceDE w:val="0"/>
              <w:autoSpaceDN w:val="0"/>
              <w:adjustRightInd w:val="0"/>
              <w:spacing w:after="0" w:line="240" w:lineRule="auto"/>
              <w:jc w:val="center"/>
              <w:rPr>
                <w:rFonts w:ascii="Times New Roman" w:hAnsi="Times New Roman"/>
                <w:b/>
                <w:sz w:val="20"/>
                <w:szCs w:val="20"/>
              </w:rPr>
            </w:pPr>
            <w:r w:rsidRPr="00F91485">
              <w:rPr>
                <w:rFonts w:ascii="Times New Roman" w:hAnsi="Times New Roman"/>
                <w:b/>
                <w:sz w:val="20"/>
                <w:szCs w:val="20"/>
              </w:rPr>
              <w:t xml:space="preserve">НДС </w:t>
            </w:r>
          </w:p>
          <w:p w:rsidR="00B23B38" w:rsidRPr="00F91485" w:rsidRDefault="00B23B38" w:rsidP="00DE3870">
            <w:pPr>
              <w:widowControl w:val="0"/>
              <w:autoSpaceDE w:val="0"/>
              <w:autoSpaceDN w:val="0"/>
              <w:adjustRightInd w:val="0"/>
              <w:spacing w:after="0" w:line="240" w:lineRule="auto"/>
              <w:jc w:val="center"/>
              <w:rPr>
                <w:rFonts w:ascii="Times New Roman" w:hAnsi="Times New Roman"/>
                <w:b/>
                <w:sz w:val="20"/>
                <w:szCs w:val="20"/>
              </w:rPr>
            </w:pPr>
            <w:r w:rsidRPr="00F91485">
              <w:rPr>
                <w:rFonts w:ascii="Times New Roman" w:hAnsi="Times New Roman"/>
                <w:b/>
                <w:sz w:val="20"/>
                <w:szCs w:val="20"/>
              </w:rPr>
              <w:t>(руб.)</w:t>
            </w:r>
          </w:p>
        </w:tc>
      </w:tr>
      <w:tr w:rsidR="005B7A15" w:rsidRPr="00F91485" w:rsidTr="00DE3870">
        <w:trPr>
          <w:trHeight w:val="729"/>
        </w:trPr>
        <w:tc>
          <w:tcPr>
            <w:tcW w:w="568" w:type="dxa"/>
          </w:tcPr>
          <w:p w:rsidR="005B7A15" w:rsidRPr="00B23B38" w:rsidRDefault="005B7A15" w:rsidP="00DE3870">
            <w:pPr>
              <w:spacing w:after="0"/>
              <w:jc w:val="center"/>
              <w:rPr>
                <w:rFonts w:ascii="Times New Roman" w:hAnsi="Times New Roman" w:cs="Times New Roman"/>
                <w:bCs/>
                <w:sz w:val="20"/>
                <w:szCs w:val="20"/>
              </w:rPr>
            </w:pPr>
            <w:r w:rsidRPr="00B23B38">
              <w:rPr>
                <w:rFonts w:ascii="Times New Roman" w:hAnsi="Times New Roman" w:cs="Times New Roman"/>
                <w:bCs/>
                <w:sz w:val="20"/>
                <w:szCs w:val="20"/>
              </w:rPr>
              <w:t>1</w:t>
            </w:r>
          </w:p>
        </w:tc>
        <w:tc>
          <w:tcPr>
            <w:tcW w:w="1843" w:type="dxa"/>
          </w:tcPr>
          <w:p w:rsidR="005B7A15" w:rsidRPr="00B23B38" w:rsidRDefault="005B7A15" w:rsidP="00B23B38">
            <w:pPr>
              <w:pStyle w:val="PlainText"/>
              <w:widowControl w:val="0"/>
              <w:autoSpaceDE w:val="0"/>
              <w:autoSpaceDN w:val="0"/>
              <w:adjustRightInd w:val="0"/>
              <w:rPr>
                <w:rFonts w:ascii="Times New Roman" w:hAnsi="Times New Roman"/>
              </w:rPr>
            </w:pPr>
            <w:r w:rsidRPr="00B23B38">
              <w:rPr>
                <w:rFonts w:ascii="Times New Roman" w:hAnsi="Times New Roman"/>
              </w:rPr>
              <w:t xml:space="preserve">Комплект однократного применения для аппаратного и безаппаратного плазмафереза </w:t>
            </w:r>
          </w:p>
        </w:tc>
        <w:tc>
          <w:tcPr>
            <w:tcW w:w="5386" w:type="dxa"/>
          </w:tcPr>
          <w:p w:rsidR="005B7A15" w:rsidRPr="00B23B38" w:rsidRDefault="005B7A15" w:rsidP="00B23B38">
            <w:pPr>
              <w:spacing w:after="0" w:line="240" w:lineRule="auto"/>
              <w:rPr>
                <w:rFonts w:ascii="Times New Roman" w:hAnsi="Times New Roman" w:cs="Times New Roman"/>
                <w:sz w:val="20"/>
                <w:szCs w:val="20"/>
              </w:rPr>
            </w:pPr>
            <w:r w:rsidRPr="00B23B38">
              <w:rPr>
                <w:rFonts w:ascii="Times New Roman" w:hAnsi="Times New Roman" w:cs="Times New Roman"/>
                <w:sz w:val="20"/>
                <w:szCs w:val="20"/>
              </w:rPr>
              <w:t>Плазм</w:t>
            </w:r>
            <w:r>
              <w:rPr>
                <w:rFonts w:ascii="Times New Roman" w:hAnsi="Times New Roman" w:cs="Times New Roman"/>
                <w:sz w:val="20"/>
                <w:szCs w:val="20"/>
              </w:rPr>
              <w:t>а</w:t>
            </w:r>
            <w:r w:rsidRPr="00B23B38">
              <w:rPr>
                <w:rFonts w:ascii="Times New Roman" w:hAnsi="Times New Roman" w:cs="Times New Roman"/>
                <w:sz w:val="20"/>
                <w:szCs w:val="20"/>
              </w:rPr>
              <w:t>фильтр мембранный</w:t>
            </w:r>
            <w:r>
              <w:rPr>
                <w:rFonts w:ascii="Times New Roman" w:hAnsi="Times New Roman" w:cs="Times New Roman"/>
                <w:sz w:val="20"/>
                <w:szCs w:val="20"/>
              </w:rPr>
              <w:t xml:space="preserve"> </w:t>
            </w:r>
            <w:r w:rsidRPr="004F6661">
              <w:rPr>
                <w:rFonts w:ascii="Times New Roman" w:hAnsi="Times New Roman" w:cs="Times New Roman"/>
                <w:sz w:val="20"/>
                <w:szCs w:val="20"/>
              </w:rPr>
              <w:t xml:space="preserve"> </w:t>
            </w:r>
            <w:r>
              <w:rPr>
                <w:rFonts w:ascii="Times New Roman" w:hAnsi="Times New Roman" w:cs="Times New Roman"/>
                <w:sz w:val="20"/>
                <w:szCs w:val="20"/>
              </w:rPr>
              <w:t>(</w:t>
            </w:r>
            <w:r w:rsidRPr="004F6661">
              <w:rPr>
                <w:rFonts w:ascii="Times New Roman" w:hAnsi="Times New Roman" w:cs="Times New Roman"/>
                <w:sz w:val="20"/>
                <w:szCs w:val="20"/>
              </w:rPr>
              <w:t>ПФМ-01-ТТ</w:t>
            </w:r>
            <w:r>
              <w:rPr>
                <w:rFonts w:ascii="Times New Roman" w:hAnsi="Times New Roman" w:cs="Times New Roman"/>
                <w:sz w:val="20"/>
                <w:szCs w:val="20"/>
              </w:rPr>
              <w:t>)</w:t>
            </w:r>
          </w:p>
          <w:p w:rsidR="005B7A15" w:rsidRPr="00B23B38" w:rsidRDefault="005B7A15" w:rsidP="00B23B38">
            <w:pPr>
              <w:pStyle w:val="PlainText"/>
              <w:widowControl w:val="0"/>
              <w:autoSpaceDE w:val="0"/>
              <w:autoSpaceDN w:val="0"/>
              <w:adjustRightInd w:val="0"/>
              <w:rPr>
                <w:rFonts w:ascii="Times New Roman" w:hAnsi="Times New Roman"/>
              </w:rPr>
            </w:pPr>
            <w:r w:rsidRPr="00B23B38">
              <w:rPr>
                <w:rFonts w:ascii="Times New Roman" w:hAnsi="Times New Roman"/>
              </w:rPr>
              <w:t>Расходный материал к аппарату для мембранного лечебного и (или) донорского плазмафереза АМПлд-ТТ торгов</w:t>
            </w:r>
            <w:r>
              <w:rPr>
                <w:rFonts w:ascii="Times New Roman" w:hAnsi="Times New Roman"/>
              </w:rPr>
              <w:t>ой</w:t>
            </w:r>
            <w:r w:rsidRPr="00B23B38">
              <w:rPr>
                <w:rFonts w:ascii="Times New Roman" w:hAnsi="Times New Roman"/>
              </w:rPr>
              <w:t xml:space="preserve"> ма</w:t>
            </w:r>
            <w:r>
              <w:rPr>
                <w:rFonts w:ascii="Times New Roman" w:hAnsi="Times New Roman"/>
              </w:rPr>
              <w:t>рки «ГЕМОФЕНИКС»)</w:t>
            </w:r>
          </w:p>
          <w:p w:rsidR="005B7A15" w:rsidRPr="004F6661" w:rsidRDefault="005B7A15" w:rsidP="00B23B38">
            <w:pPr>
              <w:pStyle w:val="PlainText"/>
              <w:widowControl w:val="0"/>
              <w:autoSpaceDE w:val="0"/>
              <w:autoSpaceDN w:val="0"/>
              <w:adjustRightInd w:val="0"/>
              <w:rPr>
                <w:rFonts w:ascii="Times New Roman" w:hAnsi="Times New Roman"/>
              </w:rPr>
            </w:pPr>
          </w:p>
        </w:tc>
        <w:tc>
          <w:tcPr>
            <w:tcW w:w="709" w:type="dxa"/>
          </w:tcPr>
          <w:p w:rsidR="005B7A15" w:rsidRPr="005B7A15" w:rsidRDefault="005B7A15" w:rsidP="00DE3870">
            <w:pPr>
              <w:tabs>
                <w:tab w:val="left" w:pos="709"/>
              </w:tabs>
              <w:jc w:val="center"/>
              <w:rPr>
                <w:rFonts w:ascii="Times New Roman" w:hAnsi="Times New Roman" w:cs="Times New Roman"/>
                <w:sz w:val="20"/>
                <w:szCs w:val="20"/>
              </w:rPr>
            </w:pPr>
            <w:r w:rsidRPr="005B7A15">
              <w:rPr>
                <w:rFonts w:ascii="Times New Roman" w:hAnsi="Times New Roman" w:cs="Times New Roman"/>
                <w:bCs/>
                <w:sz w:val="20"/>
                <w:szCs w:val="20"/>
              </w:rPr>
              <w:t>95</w:t>
            </w:r>
          </w:p>
        </w:tc>
        <w:tc>
          <w:tcPr>
            <w:tcW w:w="1134" w:type="dxa"/>
          </w:tcPr>
          <w:p w:rsidR="005B7A15" w:rsidRPr="005B7A15" w:rsidRDefault="005B7A15" w:rsidP="00DE3870">
            <w:pPr>
              <w:spacing w:after="0" w:line="240" w:lineRule="auto"/>
              <w:jc w:val="center"/>
              <w:rPr>
                <w:rFonts w:ascii="Times New Roman" w:hAnsi="Times New Roman" w:cs="Times New Roman"/>
                <w:bCs/>
                <w:sz w:val="20"/>
                <w:szCs w:val="20"/>
              </w:rPr>
            </w:pPr>
            <w:r w:rsidRPr="005B7A15">
              <w:rPr>
                <w:rFonts w:ascii="Times New Roman" w:hAnsi="Times New Roman" w:cs="Times New Roman"/>
                <w:bCs/>
                <w:sz w:val="20"/>
                <w:szCs w:val="20"/>
              </w:rPr>
              <w:t>шт</w:t>
            </w:r>
          </w:p>
        </w:tc>
        <w:tc>
          <w:tcPr>
            <w:tcW w:w="1559" w:type="dxa"/>
          </w:tcPr>
          <w:p w:rsidR="005B7A15" w:rsidRPr="005B7A15" w:rsidRDefault="005B7A15">
            <w:pPr>
              <w:rPr>
                <w:rFonts w:ascii="Times New Roman" w:hAnsi="Times New Roman" w:cs="Times New Roman"/>
              </w:rPr>
            </w:pPr>
            <w:r w:rsidRPr="005B7A15">
              <w:rPr>
                <w:rFonts w:ascii="Times New Roman" w:hAnsi="Times New Roman" w:cs="Times New Roman"/>
              </w:rPr>
              <w:t>32.50.13.190</w:t>
            </w:r>
          </w:p>
        </w:tc>
        <w:tc>
          <w:tcPr>
            <w:tcW w:w="1162" w:type="dxa"/>
            <w:shd w:val="clear" w:color="auto" w:fill="FFFF00"/>
          </w:tcPr>
          <w:p w:rsidR="005B7A15" w:rsidRPr="00F91485" w:rsidRDefault="005B7A15" w:rsidP="00DE3870">
            <w:pPr>
              <w:spacing w:after="0" w:line="240" w:lineRule="auto"/>
              <w:jc w:val="center"/>
              <w:rPr>
                <w:rFonts w:ascii="Times New Roman" w:hAnsi="Times New Roman"/>
                <w:b/>
                <w:bCs/>
                <w:sz w:val="20"/>
                <w:szCs w:val="20"/>
              </w:rPr>
            </w:pPr>
          </w:p>
        </w:tc>
        <w:tc>
          <w:tcPr>
            <w:tcW w:w="852" w:type="dxa"/>
            <w:shd w:val="clear" w:color="auto" w:fill="FFFF00"/>
          </w:tcPr>
          <w:p w:rsidR="005B7A15" w:rsidRPr="00F91485" w:rsidRDefault="005B7A15" w:rsidP="00DE3870">
            <w:pPr>
              <w:widowControl w:val="0"/>
              <w:autoSpaceDE w:val="0"/>
              <w:autoSpaceDN w:val="0"/>
              <w:adjustRightInd w:val="0"/>
              <w:spacing w:after="0" w:line="240" w:lineRule="auto"/>
              <w:jc w:val="center"/>
              <w:rPr>
                <w:rFonts w:ascii="Times New Roman" w:hAnsi="Times New Roman"/>
                <w:b/>
                <w:sz w:val="20"/>
                <w:szCs w:val="20"/>
              </w:rPr>
            </w:pPr>
          </w:p>
        </w:tc>
        <w:tc>
          <w:tcPr>
            <w:tcW w:w="1417" w:type="dxa"/>
            <w:shd w:val="clear" w:color="auto" w:fill="FFFF00"/>
          </w:tcPr>
          <w:p w:rsidR="005B7A15" w:rsidRPr="00F91485" w:rsidRDefault="005B7A15" w:rsidP="00DE3870">
            <w:pPr>
              <w:widowControl w:val="0"/>
              <w:autoSpaceDE w:val="0"/>
              <w:autoSpaceDN w:val="0"/>
              <w:adjustRightInd w:val="0"/>
              <w:spacing w:after="0" w:line="240" w:lineRule="auto"/>
              <w:jc w:val="center"/>
              <w:rPr>
                <w:rFonts w:ascii="Times New Roman" w:hAnsi="Times New Roman"/>
                <w:b/>
                <w:sz w:val="20"/>
                <w:szCs w:val="20"/>
              </w:rPr>
            </w:pPr>
          </w:p>
        </w:tc>
        <w:tc>
          <w:tcPr>
            <w:tcW w:w="1418" w:type="dxa"/>
            <w:shd w:val="clear" w:color="auto" w:fill="FFFF00"/>
          </w:tcPr>
          <w:p w:rsidR="005B7A15" w:rsidRPr="00F91485" w:rsidRDefault="005B7A15" w:rsidP="00DE3870">
            <w:pPr>
              <w:widowControl w:val="0"/>
              <w:autoSpaceDE w:val="0"/>
              <w:autoSpaceDN w:val="0"/>
              <w:adjustRightInd w:val="0"/>
              <w:spacing w:after="0" w:line="240" w:lineRule="auto"/>
              <w:jc w:val="center"/>
              <w:rPr>
                <w:rFonts w:ascii="Times New Roman" w:hAnsi="Times New Roman"/>
                <w:b/>
                <w:sz w:val="20"/>
                <w:szCs w:val="20"/>
              </w:rPr>
            </w:pPr>
          </w:p>
        </w:tc>
      </w:tr>
      <w:tr w:rsidR="005B7A15" w:rsidRPr="00F91485" w:rsidTr="00DE3870">
        <w:trPr>
          <w:trHeight w:val="729"/>
        </w:trPr>
        <w:tc>
          <w:tcPr>
            <w:tcW w:w="568" w:type="dxa"/>
          </w:tcPr>
          <w:p w:rsidR="005B7A15" w:rsidRPr="00B23B38" w:rsidRDefault="005B7A15" w:rsidP="00DE3870">
            <w:pPr>
              <w:spacing w:after="0"/>
              <w:jc w:val="center"/>
              <w:rPr>
                <w:rFonts w:ascii="Times New Roman" w:hAnsi="Times New Roman" w:cs="Times New Roman"/>
                <w:bCs/>
                <w:sz w:val="20"/>
                <w:szCs w:val="20"/>
              </w:rPr>
            </w:pPr>
            <w:r w:rsidRPr="00B23B38">
              <w:rPr>
                <w:rFonts w:ascii="Times New Roman" w:hAnsi="Times New Roman" w:cs="Times New Roman"/>
                <w:bCs/>
                <w:sz w:val="20"/>
                <w:szCs w:val="20"/>
              </w:rPr>
              <w:t>2</w:t>
            </w:r>
          </w:p>
        </w:tc>
        <w:tc>
          <w:tcPr>
            <w:tcW w:w="1843" w:type="dxa"/>
          </w:tcPr>
          <w:p w:rsidR="005B7A15" w:rsidRPr="00B23B38" w:rsidRDefault="005B7A15" w:rsidP="005B7A15">
            <w:pPr>
              <w:pStyle w:val="PlainText"/>
              <w:widowControl w:val="0"/>
              <w:autoSpaceDE w:val="0"/>
              <w:autoSpaceDN w:val="0"/>
              <w:adjustRightInd w:val="0"/>
              <w:rPr>
                <w:rFonts w:ascii="Times New Roman" w:hAnsi="Times New Roman"/>
              </w:rPr>
            </w:pPr>
            <w:r w:rsidRPr="00B23B38">
              <w:rPr>
                <w:rFonts w:ascii="Times New Roman" w:hAnsi="Times New Roman"/>
                <w:color w:val="000000"/>
              </w:rPr>
              <w:t xml:space="preserve">Комплект магистралей полимерных кровопроводящих для лечебного и донорского плазмафереза одноразовый стерильный </w:t>
            </w:r>
          </w:p>
        </w:tc>
        <w:tc>
          <w:tcPr>
            <w:tcW w:w="5386" w:type="dxa"/>
          </w:tcPr>
          <w:p w:rsidR="005B7A15" w:rsidRDefault="005B7A15" w:rsidP="005B7A15">
            <w:pPr>
              <w:pStyle w:val="PlainText"/>
              <w:widowControl w:val="0"/>
              <w:autoSpaceDE w:val="0"/>
              <w:autoSpaceDN w:val="0"/>
              <w:adjustRightInd w:val="0"/>
              <w:rPr>
                <w:rFonts w:ascii="Times New Roman" w:hAnsi="Times New Roman"/>
              </w:rPr>
            </w:pPr>
            <w:r w:rsidRPr="00B23B38">
              <w:rPr>
                <w:rFonts w:ascii="Times New Roman" w:hAnsi="Times New Roman"/>
                <w:color w:val="000000"/>
              </w:rPr>
              <w:t>Комплект магистралей полимерных кровопроводящих для лечебного и донорского плазмафереза одноразовый стерильный КМАП-01 "НОВОПЛАСТ-М"</w:t>
            </w:r>
          </w:p>
          <w:p w:rsidR="005B7A15" w:rsidRPr="00B23B38" w:rsidRDefault="005B7A15" w:rsidP="005B7A15">
            <w:pPr>
              <w:pStyle w:val="PlainText"/>
              <w:widowControl w:val="0"/>
              <w:autoSpaceDE w:val="0"/>
              <w:autoSpaceDN w:val="0"/>
              <w:adjustRightInd w:val="0"/>
              <w:rPr>
                <w:rFonts w:ascii="Times New Roman" w:hAnsi="Times New Roman"/>
              </w:rPr>
            </w:pPr>
            <w:r w:rsidRPr="00B23B38">
              <w:rPr>
                <w:rFonts w:ascii="Times New Roman" w:hAnsi="Times New Roman"/>
              </w:rPr>
              <w:t xml:space="preserve">Расходный материал к аппарату для мембранного лечебного  и (или) донорского плазмафереза  АМПлд-ТТ (торговая марка«ГЕМОФЕНИКС») </w:t>
            </w:r>
          </w:p>
        </w:tc>
        <w:tc>
          <w:tcPr>
            <w:tcW w:w="709" w:type="dxa"/>
          </w:tcPr>
          <w:p w:rsidR="005B7A15" w:rsidRPr="005B7A15" w:rsidRDefault="005B7A15" w:rsidP="00DE3870">
            <w:pPr>
              <w:tabs>
                <w:tab w:val="left" w:pos="709"/>
              </w:tabs>
              <w:jc w:val="center"/>
              <w:rPr>
                <w:rFonts w:ascii="Times New Roman" w:hAnsi="Times New Roman" w:cs="Times New Roman"/>
                <w:sz w:val="20"/>
                <w:szCs w:val="20"/>
              </w:rPr>
            </w:pPr>
            <w:r w:rsidRPr="005B7A15">
              <w:rPr>
                <w:rFonts w:ascii="Times New Roman" w:hAnsi="Times New Roman" w:cs="Times New Roman"/>
                <w:sz w:val="20"/>
                <w:szCs w:val="20"/>
              </w:rPr>
              <w:t>95</w:t>
            </w:r>
          </w:p>
        </w:tc>
        <w:tc>
          <w:tcPr>
            <w:tcW w:w="1134" w:type="dxa"/>
          </w:tcPr>
          <w:p w:rsidR="005B7A15" w:rsidRPr="005B7A15" w:rsidRDefault="005B7A15" w:rsidP="00DE3870">
            <w:pPr>
              <w:spacing w:after="0" w:line="240" w:lineRule="auto"/>
              <w:jc w:val="center"/>
              <w:rPr>
                <w:rFonts w:ascii="Times New Roman" w:hAnsi="Times New Roman" w:cs="Times New Roman"/>
                <w:bCs/>
                <w:sz w:val="20"/>
                <w:szCs w:val="20"/>
              </w:rPr>
            </w:pPr>
            <w:r w:rsidRPr="005B7A15">
              <w:rPr>
                <w:rFonts w:ascii="Times New Roman" w:hAnsi="Times New Roman" w:cs="Times New Roman"/>
                <w:bCs/>
                <w:sz w:val="20"/>
                <w:szCs w:val="20"/>
              </w:rPr>
              <w:t>шт</w:t>
            </w:r>
          </w:p>
        </w:tc>
        <w:tc>
          <w:tcPr>
            <w:tcW w:w="1559" w:type="dxa"/>
          </w:tcPr>
          <w:p w:rsidR="005B7A15" w:rsidRPr="005B7A15" w:rsidRDefault="005B7A15">
            <w:pPr>
              <w:rPr>
                <w:rFonts w:ascii="Times New Roman" w:hAnsi="Times New Roman" w:cs="Times New Roman"/>
              </w:rPr>
            </w:pPr>
            <w:r w:rsidRPr="005B7A15">
              <w:rPr>
                <w:rFonts w:ascii="Times New Roman" w:hAnsi="Times New Roman" w:cs="Times New Roman"/>
              </w:rPr>
              <w:t>32.50.13.190</w:t>
            </w:r>
          </w:p>
        </w:tc>
        <w:tc>
          <w:tcPr>
            <w:tcW w:w="1162" w:type="dxa"/>
            <w:shd w:val="clear" w:color="auto" w:fill="FFFF00"/>
          </w:tcPr>
          <w:p w:rsidR="005B7A15" w:rsidRPr="00F91485" w:rsidRDefault="005B7A15" w:rsidP="00DE3870">
            <w:pPr>
              <w:spacing w:after="0" w:line="240" w:lineRule="auto"/>
              <w:jc w:val="center"/>
              <w:rPr>
                <w:rFonts w:ascii="Times New Roman" w:hAnsi="Times New Roman"/>
                <w:b/>
                <w:bCs/>
                <w:sz w:val="20"/>
                <w:szCs w:val="20"/>
              </w:rPr>
            </w:pPr>
          </w:p>
        </w:tc>
        <w:tc>
          <w:tcPr>
            <w:tcW w:w="852" w:type="dxa"/>
            <w:shd w:val="clear" w:color="auto" w:fill="FFFF00"/>
          </w:tcPr>
          <w:p w:rsidR="005B7A15" w:rsidRPr="00F91485" w:rsidRDefault="005B7A15" w:rsidP="00DE3870">
            <w:pPr>
              <w:widowControl w:val="0"/>
              <w:autoSpaceDE w:val="0"/>
              <w:autoSpaceDN w:val="0"/>
              <w:adjustRightInd w:val="0"/>
              <w:spacing w:after="0" w:line="240" w:lineRule="auto"/>
              <w:jc w:val="center"/>
              <w:rPr>
                <w:rFonts w:ascii="Times New Roman" w:hAnsi="Times New Roman"/>
                <w:b/>
                <w:sz w:val="20"/>
                <w:szCs w:val="20"/>
              </w:rPr>
            </w:pPr>
          </w:p>
        </w:tc>
        <w:tc>
          <w:tcPr>
            <w:tcW w:w="1417" w:type="dxa"/>
            <w:shd w:val="clear" w:color="auto" w:fill="FFFF00"/>
          </w:tcPr>
          <w:p w:rsidR="005B7A15" w:rsidRPr="00F91485" w:rsidRDefault="005B7A15" w:rsidP="00DE3870">
            <w:pPr>
              <w:widowControl w:val="0"/>
              <w:autoSpaceDE w:val="0"/>
              <w:autoSpaceDN w:val="0"/>
              <w:adjustRightInd w:val="0"/>
              <w:spacing w:after="0" w:line="240" w:lineRule="auto"/>
              <w:jc w:val="center"/>
              <w:rPr>
                <w:rFonts w:ascii="Times New Roman" w:hAnsi="Times New Roman"/>
                <w:b/>
                <w:sz w:val="20"/>
                <w:szCs w:val="20"/>
              </w:rPr>
            </w:pPr>
          </w:p>
        </w:tc>
        <w:tc>
          <w:tcPr>
            <w:tcW w:w="1418" w:type="dxa"/>
            <w:shd w:val="clear" w:color="auto" w:fill="FFFF00"/>
          </w:tcPr>
          <w:p w:rsidR="005B7A15" w:rsidRPr="00F91485" w:rsidRDefault="005B7A15" w:rsidP="00DE3870">
            <w:pPr>
              <w:widowControl w:val="0"/>
              <w:autoSpaceDE w:val="0"/>
              <w:autoSpaceDN w:val="0"/>
              <w:adjustRightInd w:val="0"/>
              <w:spacing w:after="0" w:line="240" w:lineRule="auto"/>
              <w:jc w:val="center"/>
              <w:rPr>
                <w:rFonts w:ascii="Times New Roman" w:hAnsi="Times New Roman"/>
                <w:b/>
                <w:sz w:val="20"/>
                <w:szCs w:val="20"/>
              </w:rPr>
            </w:pPr>
          </w:p>
        </w:tc>
      </w:tr>
      <w:tr w:rsidR="005B7A15" w:rsidRPr="00F91485" w:rsidTr="00DE3870">
        <w:trPr>
          <w:trHeight w:val="729"/>
        </w:trPr>
        <w:tc>
          <w:tcPr>
            <w:tcW w:w="568" w:type="dxa"/>
          </w:tcPr>
          <w:p w:rsidR="005B7A15" w:rsidRPr="00B23B38" w:rsidRDefault="005B7A15" w:rsidP="00DE3870">
            <w:pPr>
              <w:spacing w:after="0"/>
              <w:jc w:val="center"/>
              <w:rPr>
                <w:rFonts w:ascii="Times New Roman" w:hAnsi="Times New Roman" w:cs="Times New Roman"/>
                <w:bCs/>
                <w:sz w:val="20"/>
                <w:szCs w:val="20"/>
              </w:rPr>
            </w:pPr>
            <w:r w:rsidRPr="00B23B38">
              <w:rPr>
                <w:rFonts w:ascii="Times New Roman" w:hAnsi="Times New Roman" w:cs="Times New Roman"/>
                <w:bCs/>
                <w:sz w:val="20"/>
                <w:szCs w:val="20"/>
              </w:rPr>
              <w:t>3</w:t>
            </w:r>
          </w:p>
        </w:tc>
        <w:tc>
          <w:tcPr>
            <w:tcW w:w="1843" w:type="dxa"/>
          </w:tcPr>
          <w:p w:rsidR="005B7A15" w:rsidRPr="00B23B38" w:rsidRDefault="005B7A15" w:rsidP="00B23B38">
            <w:pPr>
              <w:pStyle w:val="PlainText"/>
              <w:widowControl w:val="0"/>
              <w:autoSpaceDE w:val="0"/>
              <w:autoSpaceDN w:val="0"/>
              <w:adjustRightInd w:val="0"/>
              <w:rPr>
                <w:rFonts w:ascii="Times New Roman" w:hAnsi="Times New Roman"/>
              </w:rPr>
            </w:pPr>
            <w:r w:rsidRPr="00B23B38">
              <w:rPr>
                <w:rFonts w:ascii="Times New Roman" w:hAnsi="Times New Roman"/>
                <w:color w:val="000000"/>
              </w:rPr>
              <w:t>Контейнеры полимерные однократного применения с раствором гемоконсерванта ЦФГ(500мл.)</w:t>
            </w:r>
          </w:p>
        </w:tc>
        <w:tc>
          <w:tcPr>
            <w:tcW w:w="5386" w:type="dxa"/>
          </w:tcPr>
          <w:p w:rsidR="005B7A15" w:rsidRPr="005B7A15" w:rsidRDefault="005B7A15" w:rsidP="008B6936">
            <w:pPr>
              <w:pStyle w:val="af7"/>
              <w:rPr>
                <w:rFonts w:ascii="Times New Roman" w:hAnsi="Times New Roman"/>
                <w:sz w:val="20"/>
                <w:szCs w:val="20"/>
              </w:rPr>
            </w:pPr>
            <w:r w:rsidRPr="005B7A15">
              <w:rPr>
                <w:rStyle w:val="FontStyle33"/>
                <w:i w:val="0"/>
                <w:sz w:val="20"/>
                <w:szCs w:val="20"/>
              </w:rPr>
              <w:t xml:space="preserve">Совместимость с </w:t>
            </w:r>
            <w:r w:rsidRPr="005B7A15">
              <w:rPr>
                <w:rStyle w:val="FontStyle24"/>
              </w:rPr>
              <w:t xml:space="preserve">аппаратом для мембранного лечебного </w:t>
            </w:r>
            <w:r w:rsidRPr="005B7A15">
              <w:rPr>
                <w:rFonts w:ascii="Times New Roman" w:hAnsi="Times New Roman"/>
                <w:sz w:val="20"/>
                <w:szCs w:val="20"/>
              </w:rPr>
              <w:t xml:space="preserve"> и (или) донорского плазмафереза  АМПлд-Т</w:t>
            </w:r>
            <w:r>
              <w:rPr>
                <w:rFonts w:ascii="Times New Roman" w:hAnsi="Times New Roman"/>
                <w:sz w:val="20"/>
                <w:szCs w:val="20"/>
              </w:rPr>
              <w:t>Т (торговая марка «ГЕМОФЕНИКС»).</w:t>
            </w:r>
          </w:p>
          <w:p w:rsidR="005B7A15" w:rsidRPr="005B7A15" w:rsidRDefault="005B7A15" w:rsidP="008B6936">
            <w:pPr>
              <w:pStyle w:val="af7"/>
              <w:rPr>
                <w:rFonts w:ascii="Times New Roman" w:hAnsi="Times New Roman"/>
                <w:sz w:val="20"/>
                <w:szCs w:val="20"/>
              </w:rPr>
            </w:pPr>
            <w:r w:rsidRPr="005B7A15">
              <w:rPr>
                <w:rFonts w:ascii="Times New Roman" w:hAnsi="Times New Roman"/>
                <w:sz w:val="20"/>
                <w:szCs w:val="20"/>
              </w:rPr>
              <w:t>Объем гемоконсерванта, не менее,</w:t>
            </w:r>
            <w:r w:rsidRPr="005B7A15">
              <w:rPr>
                <w:rFonts w:ascii="Times New Roman" w:hAnsi="Times New Roman"/>
                <w:b/>
                <w:sz w:val="20"/>
                <w:szCs w:val="20"/>
              </w:rPr>
              <w:t xml:space="preserve"> </w:t>
            </w:r>
            <w:r w:rsidRPr="005B7A15">
              <w:rPr>
                <w:rFonts w:ascii="Times New Roman" w:hAnsi="Times New Roman"/>
                <w:sz w:val="20"/>
                <w:szCs w:val="20"/>
              </w:rPr>
              <w:t>мл - 500</w:t>
            </w:r>
          </w:p>
          <w:p w:rsidR="005B7A15" w:rsidRPr="005B7A15" w:rsidRDefault="005B7A15" w:rsidP="008B6936">
            <w:pPr>
              <w:pStyle w:val="af7"/>
              <w:rPr>
                <w:rFonts w:ascii="Times New Roman" w:hAnsi="Times New Roman"/>
                <w:sz w:val="20"/>
                <w:szCs w:val="20"/>
              </w:rPr>
            </w:pPr>
            <w:r w:rsidRPr="005B7A15">
              <w:rPr>
                <w:rFonts w:ascii="Times New Roman" w:hAnsi="Times New Roman"/>
                <w:sz w:val="20"/>
                <w:szCs w:val="20"/>
              </w:rPr>
              <w:t>Количество гемоконсерванта в контейнере не менее</w:t>
            </w:r>
            <w:r>
              <w:rPr>
                <w:rFonts w:ascii="Times New Roman" w:hAnsi="Times New Roman"/>
                <w:sz w:val="20"/>
                <w:szCs w:val="20"/>
              </w:rPr>
              <w:t xml:space="preserve"> </w:t>
            </w:r>
            <w:r w:rsidRPr="005B7A15">
              <w:rPr>
                <w:rFonts w:ascii="Times New Roman" w:hAnsi="Times New Roman"/>
                <w:sz w:val="20"/>
                <w:szCs w:val="20"/>
              </w:rPr>
              <w:t>490</w:t>
            </w:r>
            <w:r>
              <w:rPr>
                <w:rFonts w:ascii="Times New Roman" w:hAnsi="Times New Roman"/>
                <w:sz w:val="20"/>
                <w:szCs w:val="20"/>
              </w:rPr>
              <w:t xml:space="preserve"> мл.</w:t>
            </w:r>
          </w:p>
          <w:p w:rsidR="005B7A15" w:rsidRPr="005B7A15" w:rsidRDefault="005B7A15" w:rsidP="008B6936">
            <w:pPr>
              <w:pStyle w:val="af7"/>
              <w:rPr>
                <w:rFonts w:ascii="Times New Roman" w:hAnsi="Times New Roman"/>
                <w:sz w:val="20"/>
                <w:szCs w:val="20"/>
              </w:rPr>
            </w:pPr>
            <w:r w:rsidRPr="005B7A15">
              <w:rPr>
                <w:rFonts w:ascii="Times New Roman" w:hAnsi="Times New Roman"/>
                <w:sz w:val="20"/>
                <w:szCs w:val="20"/>
              </w:rPr>
              <w:t>Состав раствора:</w:t>
            </w:r>
          </w:p>
          <w:p w:rsidR="005B7A15" w:rsidRPr="005B7A15" w:rsidRDefault="005B7A15" w:rsidP="008B6936">
            <w:pPr>
              <w:pStyle w:val="af7"/>
              <w:rPr>
                <w:rFonts w:ascii="Times New Roman" w:hAnsi="Times New Roman"/>
                <w:sz w:val="20"/>
                <w:szCs w:val="20"/>
              </w:rPr>
            </w:pPr>
            <w:r w:rsidRPr="005B7A15">
              <w:rPr>
                <w:rFonts w:ascii="Times New Roman" w:hAnsi="Times New Roman"/>
                <w:sz w:val="20"/>
                <w:szCs w:val="20"/>
              </w:rPr>
              <w:t xml:space="preserve">- Натрия цитрат 5,5– водный </w:t>
            </w:r>
            <w:smartTag w:uri="urn:schemas-microsoft-com:office:smarttags" w:element="metricconverter">
              <w:smartTagPr>
                <w:attr w:name="ProductID" w:val="-31,94 г"/>
              </w:smartTagPr>
              <w:r w:rsidRPr="005B7A15">
                <w:rPr>
                  <w:rFonts w:ascii="Times New Roman" w:hAnsi="Times New Roman"/>
                  <w:sz w:val="20"/>
                  <w:szCs w:val="20"/>
                </w:rPr>
                <w:t>-31,94 г</w:t>
              </w:r>
            </w:smartTag>
          </w:p>
          <w:p w:rsidR="005B7A15" w:rsidRPr="005B7A15" w:rsidRDefault="005B7A15" w:rsidP="008B6936">
            <w:pPr>
              <w:pStyle w:val="af7"/>
              <w:rPr>
                <w:rFonts w:ascii="Times New Roman" w:hAnsi="Times New Roman"/>
                <w:sz w:val="20"/>
                <w:szCs w:val="20"/>
              </w:rPr>
            </w:pPr>
            <w:r w:rsidRPr="005B7A15">
              <w:rPr>
                <w:rFonts w:ascii="Times New Roman" w:hAnsi="Times New Roman"/>
                <w:sz w:val="20"/>
                <w:szCs w:val="20"/>
              </w:rPr>
              <w:t xml:space="preserve">- Глюкоза моногидрат – </w:t>
            </w:r>
            <w:smartTag w:uri="urn:schemas-microsoft-com:office:smarttags" w:element="metricconverter">
              <w:smartTagPr>
                <w:attr w:name="ProductID" w:val="25,5 г"/>
              </w:smartTagPr>
              <w:r w:rsidRPr="005B7A15">
                <w:rPr>
                  <w:rFonts w:ascii="Times New Roman" w:hAnsi="Times New Roman"/>
                  <w:sz w:val="20"/>
                  <w:szCs w:val="20"/>
                </w:rPr>
                <w:t>25,5 г</w:t>
              </w:r>
            </w:smartTag>
          </w:p>
          <w:p w:rsidR="005B7A15" w:rsidRPr="005B7A15" w:rsidRDefault="005B7A15" w:rsidP="008B6936">
            <w:pPr>
              <w:pStyle w:val="af7"/>
              <w:rPr>
                <w:rFonts w:ascii="Times New Roman" w:hAnsi="Times New Roman"/>
                <w:sz w:val="20"/>
                <w:szCs w:val="20"/>
              </w:rPr>
            </w:pPr>
            <w:r w:rsidRPr="005B7A15">
              <w:rPr>
                <w:rFonts w:ascii="Times New Roman" w:hAnsi="Times New Roman"/>
                <w:sz w:val="20"/>
                <w:szCs w:val="20"/>
              </w:rPr>
              <w:t xml:space="preserve">- Натрия фосфорнокислый однозамещенный 2-водный – </w:t>
            </w:r>
            <w:smartTag w:uri="urn:schemas-microsoft-com:office:smarttags" w:element="metricconverter">
              <w:smartTagPr>
                <w:attr w:name="ProductID" w:val="2,51 г"/>
              </w:smartTagPr>
              <w:r w:rsidRPr="005B7A15">
                <w:rPr>
                  <w:rFonts w:ascii="Times New Roman" w:hAnsi="Times New Roman"/>
                  <w:sz w:val="20"/>
                  <w:szCs w:val="20"/>
                </w:rPr>
                <w:t>2,51 г</w:t>
              </w:r>
            </w:smartTag>
          </w:p>
          <w:p w:rsidR="005B7A15" w:rsidRPr="005B7A15" w:rsidRDefault="005B7A15" w:rsidP="008B6936">
            <w:pPr>
              <w:pStyle w:val="af7"/>
              <w:rPr>
                <w:rFonts w:ascii="Times New Roman" w:hAnsi="Times New Roman"/>
                <w:sz w:val="20"/>
                <w:szCs w:val="20"/>
              </w:rPr>
            </w:pPr>
            <w:r w:rsidRPr="005B7A15">
              <w:rPr>
                <w:rFonts w:ascii="Times New Roman" w:hAnsi="Times New Roman"/>
                <w:sz w:val="20"/>
                <w:szCs w:val="20"/>
              </w:rPr>
              <w:t xml:space="preserve">- Кислота лимонная моногидрат – </w:t>
            </w:r>
            <w:smartTag w:uri="urn:schemas-microsoft-com:office:smarttags" w:element="metricconverter">
              <w:smartTagPr>
                <w:attr w:name="ProductID" w:val="3,27 г"/>
              </w:smartTagPr>
              <w:r w:rsidRPr="005B7A15">
                <w:rPr>
                  <w:rFonts w:ascii="Times New Roman" w:hAnsi="Times New Roman"/>
                  <w:sz w:val="20"/>
                  <w:szCs w:val="20"/>
                </w:rPr>
                <w:t>3,27 г</w:t>
              </w:r>
            </w:smartTag>
          </w:p>
          <w:p w:rsidR="005B7A15" w:rsidRPr="00B23B38" w:rsidRDefault="005B7A15" w:rsidP="008B6936">
            <w:pPr>
              <w:pStyle w:val="af7"/>
              <w:rPr>
                <w:rFonts w:ascii="Times New Roman" w:hAnsi="Times New Roman"/>
                <w:sz w:val="20"/>
                <w:szCs w:val="20"/>
              </w:rPr>
            </w:pPr>
            <w:r w:rsidRPr="005B7A15">
              <w:rPr>
                <w:rFonts w:ascii="Times New Roman" w:hAnsi="Times New Roman"/>
                <w:sz w:val="20"/>
                <w:szCs w:val="20"/>
              </w:rPr>
              <w:t>- Вода для инъекций – до 1 литра – Наличие</w:t>
            </w:r>
          </w:p>
        </w:tc>
        <w:tc>
          <w:tcPr>
            <w:tcW w:w="709" w:type="dxa"/>
          </w:tcPr>
          <w:p w:rsidR="005B7A15" w:rsidRPr="005B7A15" w:rsidRDefault="005B7A15" w:rsidP="00DE3870">
            <w:pPr>
              <w:tabs>
                <w:tab w:val="left" w:pos="709"/>
              </w:tabs>
              <w:jc w:val="center"/>
              <w:rPr>
                <w:rFonts w:ascii="Times New Roman" w:hAnsi="Times New Roman" w:cs="Times New Roman"/>
                <w:sz w:val="20"/>
                <w:szCs w:val="20"/>
              </w:rPr>
            </w:pPr>
            <w:r w:rsidRPr="005B7A15">
              <w:rPr>
                <w:rFonts w:ascii="Times New Roman" w:hAnsi="Times New Roman" w:cs="Times New Roman"/>
                <w:sz w:val="20"/>
                <w:szCs w:val="20"/>
              </w:rPr>
              <w:t>95</w:t>
            </w:r>
          </w:p>
        </w:tc>
        <w:tc>
          <w:tcPr>
            <w:tcW w:w="1134" w:type="dxa"/>
          </w:tcPr>
          <w:p w:rsidR="005B7A15" w:rsidRPr="005B7A15" w:rsidRDefault="005B7A15" w:rsidP="00DE3870">
            <w:pPr>
              <w:spacing w:after="0" w:line="240" w:lineRule="auto"/>
              <w:jc w:val="center"/>
              <w:rPr>
                <w:rFonts w:ascii="Times New Roman" w:hAnsi="Times New Roman" w:cs="Times New Roman"/>
                <w:sz w:val="20"/>
                <w:szCs w:val="20"/>
              </w:rPr>
            </w:pPr>
            <w:r w:rsidRPr="005B7A15">
              <w:rPr>
                <w:rFonts w:ascii="Times New Roman" w:hAnsi="Times New Roman" w:cs="Times New Roman"/>
                <w:sz w:val="20"/>
                <w:szCs w:val="20"/>
              </w:rPr>
              <w:t>шт</w:t>
            </w:r>
          </w:p>
        </w:tc>
        <w:tc>
          <w:tcPr>
            <w:tcW w:w="1559" w:type="dxa"/>
          </w:tcPr>
          <w:p w:rsidR="005B7A15" w:rsidRPr="005B7A15" w:rsidRDefault="005B7A15">
            <w:pPr>
              <w:rPr>
                <w:rFonts w:ascii="Times New Roman" w:hAnsi="Times New Roman" w:cs="Times New Roman"/>
              </w:rPr>
            </w:pPr>
            <w:r w:rsidRPr="005B7A15">
              <w:rPr>
                <w:rFonts w:ascii="Times New Roman" w:hAnsi="Times New Roman" w:cs="Times New Roman"/>
              </w:rPr>
              <w:t>32.50.13.190</w:t>
            </w:r>
          </w:p>
        </w:tc>
        <w:tc>
          <w:tcPr>
            <w:tcW w:w="1162" w:type="dxa"/>
            <w:shd w:val="clear" w:color="auto" w:fill="FFFF00"/>
          </w:tcPr>
          <w:p w:rsidR="005B7A15" w:rsidRPr="00F91485" w:rsidRDefault="005B7A15" w:rsidP="00DE3870">
            <w:pPr>
              <w:spacing w:after="0" w:line="240" w:lineRule="auto"/>
              <w:jc w:val="center"/>
              <w:rPr>
                <w:rFonts w:ascii="Times New Roman" w:hAnsi="Times New Roman"/>
                <w:b/>
                <w:bCs/>
                <w:sz w:val="20"/>
                <w:szCs w:val="20"/>
              </w:rPr>
            </w:pPr>
          </w:p>
        </w:tc>
        <w:tc>
          <w:tcPr>
            <w:tcW w:w="852" w:type="dxa"/>
            <w:shd w:val="clear" w:color="auto" w:fill="FFFF00"/>
          </w:tcPr>
          <w:p w:rsidR="005B7A15" w:rsidRPr="00F91485" w:rsidRDefault="005B7A15" w:rsidP="00DE3870">
            <w:pPr>
              <w:widowControl w:val="0"/>
              <w:autoSpaceDE w:val="0"/>
              <w:autoSpaceDN w:val="0"/>
              <w:adjustRightInd w:val="0"/>
              <w:spacing w:after="0" w:line="240" w:lineRule="auto"/>
              <w:jc w:val="center"/>
              <w:rPr>
                <w:rFonts w:ascii="Times New Roman" w:hAnsi="Times New Roman"/>
                <w:b/>
                <w:sz w:val="20"/>
                <w:szCs w:val="20"/>
              </w:rPr>
            </w:pPr>
          </w:p>
        </w:tc>
        <w:tc>
          <w:tcPr>
            <w:tcW w:w="1417" w:type="dxa"/>
            <w:shd w:val="clear" w:color="auto" w:fill="FFFF00"/>
          </w:tcPr>
          <w:p w:rsidR="005B7A15" w:rsidRPr="00F91485" w:rsidRDefault="005B7A15" w:rsidP="00DE3870">
            <w:pPr>
              <w:widowControl w:val="0"/>
              <w:autoSpaceDE w:val="0"/>
              <w:autoSpaceDN w:val="0"/>
              <w:adjustRightInd w:val="0"/>
              <w:spacing w:after="0" w:line="240" w:lineRule="auto"/>
              <w:jc w:val="center"/>
              <w:rPr>
                <w:rFonts w:ascii="Times New Roman" w:hAnsi="Times New Roman"/>
                <w:b/>
                <w:sz w:val="20"/>
                <w:szCs w:val="20"/>
              </w:rPr>
            </w:pPr>
          </w:p>
        </w:tc>
        <w:tc>
          <w:tcPr>
            <w:tcW w:w="1418" w:type="dxa"/>
            <w:shd w:val="clear" w:color="auto" w:fill="FFFF00"/>
          </w:tcPr>
          <w:p w:rsidR="005B7A15" w:rsidRPr="00F91485" w:rsidRDefault="005B7A15" w:rsidP="00DE3870">
            <w:pPr>
              <w:widowControl w:val="0"/>
              <w:autoSpaceDE w:val="0"/>
              <w:autoSpaceDN w:val="0"/>
              <w:adjustRightInd w:val="0"/>
              <w:spacing w:after="0" w:line="240" w:lineRule="auto"/>
              <w:jc w:val="center"/>
              <w:rPr>
                <w:rFonts w:ascii="Times New Roman" w:hAnsi="Times New Roman"/>
                <w:b/>
                <w:sz w:val="20"/>
                <w:szCs w:val="20"/>
              </w:rPr>
            </w:pPr>
          </w:p>
        </w:tc>
      </w:tr>
    </w:tbl>
    <w:p w:rsidR="00170252" w:rsidRDefault="00170252" w:rsidP="000820E3">
      <w:pPr>
        <w:rPr>
          <w:rFonts w:ascii="Times New Roman" w:hAnsi="Times New Roman" w:cs="Times New Roman"/>
          <w:b/>
          <w:sz w:val="28"/>
          <w:szCs w:val="28"/>
        </w:rPr>
      </w:pPr>
    </w:p>
    <w:sectPr w:rsidR="00170252" w:rsidSect="00B23B38">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B2" w:rsidRDefault="009825B2">
      <w:pPr>
        <w:spacing w:after="0" w:line="240" w:lineRule="auto"/>
      </w:pPr>
      <w:r>
        <w:separator/>
      </w:r>
    </w:p>
  </w:endnote>
  <w:endnote w:type="continuationSeparator" w:id="0">
    <w:p w:rsidR="009825B2" w:rsidRDefault="0098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E6119" w:rsidRDefault="001E6119">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E6119">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E6119">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E611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E611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B2" w:rsidRDefault="009825B2">
      <w:pPr>
        <w:spacing w:after="0" w:line="240" w:lineRule="auto"/>
      </w:pPr>
      <w:r>
        <w:separator/>
      </w:r>
    </w:p>
  </w:footnote>
  <w:footnote w:type="continuationSeparator" w:id="0">
    <w:p w:rsidR="009825B2" w:rsidRDefault="009825B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E6119" w:rsidRDefault="001E6119">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E6119" w:rsidRDefault="001E6119">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E6119" w:rsidRDefault="001E6119">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E6119"/>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0FB2"/>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4F6661"/>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B7A15"/>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25B2"/>
    <w:rsid w:val="009840D8"/>
    <w:rsid w:val="00991266"/>
    <w:rsid w:val="009938B0"/>
    <w:rsid w:val="009A0334"/>
    <w:rsid w:val="009A2C92"/>
    <w:rsid w:val="009B40C9"/>
    <w:rsid w:val="009C4905"/>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B38"/>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0C51"/>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B23B38"/>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B23B38"/>
    <w:rPr>
      <w:rFonts w:ascii="Courier New" w:eastAsia="Times New Roman" w:hAnsi="Courier New" w:cs="Times New Roman"/>
      <w:sz w:val="20"/>
      <w:szCs w:val="20"/>
      <w:lang w:eastAsia="ru-RU"/>
    </w:rPr>
  </w:style>
  <w:style w:type="character" w:customStyle="1" w:styleId="FontStyle24">
    <w:name w:val="Font Style24"/>
    <w:basedOn w:val="a1"/>
    <w:rsid w:val="00B23B38"/>
    <w:rPr>
      <w:rFonts w:ascii="Times New Roman" w:hAnsi="Times New Roman" w:cs="Times New Roman"/>
      <w:sz w:val="20"/>
      <w:szCs w:val="20"/>
    </w:rPr>
  </w:style>
  <w:style w:type="character" w:customStyle="1" w:styleId="FontStyle33">
    <w:name w:val="Font Style33"/>
    <w:basedOn w:val="a1"/>
    <w:rsid w:val="00B23B38"/>
    <w:rPr>
      <w:rFonts w:ascii="Times New Roman" w:hAnsi="Times New Roman" w:cs="Times New Roman"/>
      <w:i/>
      <w:iCs/>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B23B38"/>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B23B38"/>
    <w:rPr>
      <w:rFonts w:ascii="Courier New" w:eastAsia="Times New Roman" w:hAnsi="Courier New" w:cs="Times New Roman"/>
      <w:sz w:val="20"/>
      <w:szCs w:val="20"/>
      <w:lang w:eastAsia="ru-RU"/>
    </w:rPr>
  </w:style>
  <w:style w:type="character" w:customStyle="1" w:styleId="FontStyle24">
    <w:name w:val="Font Style24"/>
    <w:basedOn w:val="a1"/>
    <w:rsid w:val="00B23B38"/>
    <w:rPr>
      <w:rFonts w:ascii="Times New Roman" w:hAnsi="Times New Roman" w:cs="Times New Roman"/>
      <w:sz w:val="20"/>
      <w:szCs w:val="20"/>
    </w:rPr>
  </w:style>
  <w:style w:type="character" w:customStyle="1" w:styleId="FontStyle33">
    <w:name w:val="Font Style33"/>
    <w:basedOn w:val="a1"/>
    <w:rsid w:val="00B23B38"/>
    <w:rPr>
      <w:rFonts w:ascii="Times New Roman" w:hAnsi="Times New Roman" w:cs="Times New Roman"/>
      <w:i/>
      <w:i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6A48B-E06D-4F55-AEFF-89E3347A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2021-07-26T07:33:00Z</dcterms:created>
  <dcterms:modified xsi:type="dcterms:W3CDTF">2021-07-26T07:33:00Z</dcterms:modified>
</cp:coreProperties>
</file>