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05-07/684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1215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19"/>
        <w:gridCol w:w="1429"/>
        <w:gridCol w:w="1264"/>
        <w:gridCol w:w="1755"/>
        <w:gridCol w:w="1478"/>
        <w:gridCol w:w="1478"/>
        <w:gridCol w:w="1478"/>
        <w:gridCol w:w="1705"/>
        <w:gridCol w:w="1057"/>
        <w:gridCol w:w="1471"/>
        <w:gridCol w:w="769"/>
        <w:gridCol w:w="890"/>
        <w:gridCol w:w="756"/>
      </w:tblGrid>
      <w:tr w:rsidR="00EA1B6E" w:rsidRPr="00EA1B6E" w:rsidTr="00EA1B6E">
        <w:trPr>
          <w:trHeight w:val="1020"/>
        </w:trPr>
        <w:tc>
          <w:tcPr>
            <w:tcW w:w="1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пп</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Наименование товара, работы, услуги</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Код позиции</w:t>
            </w:r>
          </w:p>
        </w:tc>
        <w:tc>
          <w:tcPr>
            <w:tcW w:w="1898" w:type="pct"/>
            <w:gridSpan w:val="4"/>
            <w:tcBorders>
              <w:top w:val="single" w:sz="4" w:space="0" w:color="auto"/>
              <w:left w:val="nil"/>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Характеристики товара, работы, услуги</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Количество(объем работы, услуги)</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Единица измерения</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Страна происхождения Товара</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Ставка НДС%</w:t>
            </w:r>
          </w:p>
        </w:tc>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Цена за единицу без НДС</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Сумма без НДС</w:t>
            </w:r>
          </w:p>
        </w:tc>
      </w:tr>
      <w:tr w:rsidR="00EA1B6E" w:rsidRPr="00EA1B6E" w:rsidTr="00EA1B6E">
        <w:trPr>
          <w:trHeight w:val="1020"/>
        </w:trPr>
        <w:tc>
          <w:tcPr>
            <w:tcW w:w="142" w:type="pct"/>
            <w:vMerge/>
            <w:tcBorders>
              <w:top w:val="single" w:sz="4" w:space="0" w:color="auto"/>
              <w:left w:val="single" w:sz="4" w:space="0" w:color="auto"/>
              <w:bottom w:val="single" w:sz="4" w:space="0" w:color="auto"/>
              <w:right w:val="single" w:sz="4" w:space="0" w:color="auto"/>
            </w:tcBorders>
            <w:vAlign w:val="center"/>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p>
        </w:tc>
        <w:tc>
          <w:tcPr>
            <w:tcW w:w="523" w:type="pct"/>
            <w:tcBorders>
              <w:top w:val="nil"/>
              <w:left w:val="nil"/>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Наименование характеристики</w:t>
            </w:r>
          </w:p>
        </w:tc>
        <w:tc>
          <w:tcPr>
            <w:tcW w:w="499" w:type="pct"/>
            <w:tcBorders>
              <w:top w:val="nil"/>
              <w:left w:val="nil"/>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Значение характеристики</w:t>
            </w:r>
          </w:p>
        </w:tc>
        <w:tc>
          <w:tcPr>
            <w:tcW w:w="436" w:type="pct"/>
            <w:tcBorders>
              <w:top w:val="nil"/>
              <w:left w:val="nil"/>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Единица измерения характеристики</w:t>
            </w:r>
          </w:p>
        </w:tc>
        <w:tc>
          <w:tcPr>
            <w:tcW w:w="440" w:type="pct"/>
            <w:tcBorders>
              <w:top w:val="nil"/>
              <w:left w:val="nil"/>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p>
        </w:tc>
        <w:tc>
          <w:tcPr>
            <w:tcW w:w="434" w:type="pct"/>
            <w:tcBorders>
              <w:top w:val="nil"/>
              <w:left w:val="nil"/>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single" w:sz="4" w:space="0" w:color="auto"/>
              <w:right w:val="single" w:sz="4" w:space="0" w:color="auto"/>
            </w:tcBorders>
            <w:shd w:val="clear" w:color="auto" w:fill="auto"/>
            <w:vAlign w:val="center"/>
            <w:hideMark/>
          </w:tcPr>
          <w:p w:rsidR="00EA1B6E" w:rsidRPr="00EA1B6E" w:rsidRDefault="00EA1B6E" w:rsidP="00EA1B6E">
            <w:pPr>
              <w:spacing w:after="0" w:line="240" w:lineRule="auto"/>
              <w:jc w:val="center"/>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p>
        </w:tc>
      </w:tr>
      <w:tr w:rsidR="00EA1B6E" w:rsidRPr="00EA1B6E" w:rsidTr="00EA1B6E">
        <w:trPr>
          <w:trHeight w:val="1035"/>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jc w:val="right"/>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1</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Маска ларингеальная, одноразового использования</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32.50.21.129-00000035**</w:t>
            </w:r>
          </w:p>
        </w:tc>
        <w:tc>
          <w:tcPr>
            <w:tcW w:w="523" w:type="pct"/>
            <w:tcBorders>
              <w:top w:val="nil"/>
              <w:left w:val="nil"/>
              <w:bottom w:val="single" w:sz="4" w:space="0" w:color="auto"/>
              <w:right w:val="single" w:sz="4" w:space="0" w:color="auto"/>
            </w:tcBorders>
            <w:shd w:val="clear" w:color="auto" w:fill="auto"/>
            <w:vAlign w:val="bottom"/>
            <w:hideMark/>
          </w:tcPr>
          <w:p w:rsidR="00EA1B6E" w:rsidRPr="00EA1B6E" w:rsidRDefault="00AF135F" w:rsidP="00EA1B6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Одноразовая ларинге</w:t>
            </w:r>
            <w:r w:rsidR="00EA1B6E" w:rsidRPr="00EA1B6E">
              <w:rPr>
                <w:rFonts w:ascii="Times New Roman" w:eastAsia="Times New Roman" w:hAnsi="Times New Roman" w:cs="Times New Roman"/>
                <w:color w:val="000000"/>
                <w:sz w:val="20"/>
                <w:szCs w:val="20"/>
                <w:lang w:eastAsia="ru-RU"/>
              </w:rPr>
              <w:t xml:space="preserve">альная маска. </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jc w:val="right"/>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220</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штука</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3075"/>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FF0000"/>
                <w:sz w:val="20"/>
                <w:szCs w:val="20"/>
                <w:lang w:eastAsia="ru-RU"/>
              </w:rPr>
            </w:pPr>
            <w:r w:rsidRPr="00EA1B6E">
              <w:rPr>
                <w:rFonts w:ascii="Times New Roman" w:eastAsia="Times New Roman" w:hAnsi="Times New Roman" w:cs="Times New Roman"/>
                <w:color w:val="FF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FF0000"/>
                <w:sz w:val="20"/>
                <w:szCs w:val="20"/>
                <w:lang w:eastAsia="ru-RU"/>
              </w:rPr>
            </w:pPr>
            <w:r w:rsidRPr="00EA1B6E">
              <w:rPr>
                <w:rFonts w:ascii="Times New Roman" w:eastAsia="Times New Roman" w:hAnsi="Times New Roman" w:cs="Times New Roman"/>
                <w:color w:val="FF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Размер 3,0  Указание размеров продиктовано необходимостью иметь в ассортименте лечебного учреждения медицинские изделия с различными размерами для использования их при оказании помощи населению с различными анатомическими особенностями.</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2055"/>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Манжетка имеет грушевидную форму. Обеспечивает создание не раздражающего ткани пациента эффективного ротоглоточного герметизирующего кольца.</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1290"/>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Маска имеет усиленное основание манжеты. Защищает маску от перегиба во время постановки.</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2055"/>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Наконечник маски имеет коническую анатомическую форму. Не дает складываться при введении, прикрывает эзофагеальный сфинктер и снижает инсу</w:t>
            </w:r>
            <w:r w:rsidR="00424A72">
              <w:rPr>
                <w:rFonts w:ascii="Times New Roman" w:eastAsia="Times New Roman" w:hAnsi="Times New Roman" w:cs="Times New Roman"/>
                <w:color w:val="000000"/>
                <w:sz w:val="20"/>
                <w:szCs w:val="20"/>
                <w:lang w:eastAsia="ru-RU"/>
              </w:rPr>
              <w:t>ф</w:t>
            </w:r>
            <w:r w:rsidRPr="00EA1B6E">
              <w:rPr>
                <w:rFonts w:ascii="Times New Roman" w:eastAsia="Times New Roman" w:hAnsi="Times New Roman" w:cs="Times New Roman"/>
                <w:color w:val="000000"/>
                <w:sz w:val="20"/>
                <w:szCs w:val="20"/>
                <w:lang w:eastAsia="ru-RU"/>
              </w:rPr>
              <w:t>фляцию желудка.</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1035"/>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Основание маски имеет перемычки. Защищают от возможной блокады надгортанником.</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1800"/>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Канал для раздувания манжеты подвижен. Для обеспечения доступа при выполнении хирургических вмешательств на голове и шее.</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1035"/>
        </w:trPr>
        <w:tc>
          <w:tcPr>
            <w:tcW w:w="142" w:type="pct"/>
            <w:tcBorders>
              <w:top w:val="single" w:sz="4" w:space="0" w:color="auto"/>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jc w:val="right"/>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2</w:t>
            </w:r>
          </w:p>
        </w:tc>
        <w:tc>
          <w:tcPr>
            <w:tcW w:w="561"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Маска ларингеальная, одноразового использования</w:t>
            </w:r>
          </w:p>
        </w:tc>
        <w:tc>
          <w:tcPr>
            <w:tcW w:w="372"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32.50.21.129-00000035**</w:t>
            </w:r>
          </w:p>
        </w:tc>
        <w:tc>
          <w:tcPr>
            <w:tcW w:w="523"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A86F69">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Одноразовая ларинг</w:t>
            </w:r>
            <w:r w:rsidR="00A86F69">
              <w:rPr>
                <w:rFonts w:ascii="Times New Roman" w:eastAsia="Times New Roman" w:hAnsi="Times New Roman" w:cs="Times New Roman"/>
                <w:color w:val="000000"/>
                <w:sz w:val="20"/>
                <w:szCs w:val="20"/>
                <w:lang w:eastAsia="ru-RU"/>
              </w:rPr>
              <w:t>е</w:t>
            </w:r>
            <w:r w:rsidRPr="00EA1B6E">
              <w:rPr>
                <w:rFonts w:ascii="Times New Roman" w:eastAsia="Times New Roman" w:hAnsi="Times New Roman" w:cs="Times New Roman"/>
                <w:color w:val="000000"/>
                <w:sz w:val="20"/>
                <w:szCs w:val="20"/>
                <w:lang w:eastAsia="ru-RU"/>
              </w:rPr>
              <w:t xml:space="preserve">альная маска. </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jc w:val="right"/>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680</w:t>
            </w:r>
          </w:p>
        </w:tc>
        <w:tc>
          <w:tcPr>
            <w:tcW w:w="311"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3330"/>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FF0000"/>
                <w:sz w:val="20"/>
                <w:szCs w:val="20"/>
                <w:lang w:eastAsia="ru-RU"/>
              </w:rPr>
            </w:pPr>
            <w:r w:rsidRPr="00EA1B6E">
              <w:rPr>
                <w:rFonts w:ascii="Times New Roman" w:eastAsia="Times New Roman" w:hAnsi="Times New Roman" w:cs="Times New Roman"/>
                <w:color w:val="FF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FF0000"/>
                <w:sz w:val="20"/>
                <w:szCs w:val="20"/>
                <w:lang w:eastAsia="ru-RU"/>
              </w:rPr>
            </w:pPr>
            <w:r w:rsidRPr="00EA1B6E">
              <w:rPr>
                <w:rFonts w:ascii="Times New Roman" w:eastAsia="Times New Roman" w:hAnsi="Times New Roman" w:cs="Times New Roman"/>
                <w:color w:val="FF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Размер 4,0 по заявке Заказчика. Указание размеров продиктовано необходимостью иметь в ассортименте лечебного учреждения медицинские изделия с различными размерами для использования их при оказании помощи населению с различными анатомическими особенностями.</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2055"/>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Манжетка имеет грушевидную форму. Обеспечивает создание не раздражающего ткани пациента эффективного ротоглоточного герметизирующего кольца.</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1290"/>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Маска имеет усиленное основание манжеты. Защищает маску от перегиба во время постановки.</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2055"/>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Наконечник маски имеет коническую анатомическую форму. Не дает складываться при введении, прикрывает эзофагеальный сфинктер и снижает </w:t>
            </w:r>
            <w:r w:rsidR="00CB1E7A" w:rsidRPr="00EA1B6E">
              <w:rPr>
                <w:rFonts w:ascii="Times New Roman" w:eastAsia="Times New Roman" w:hAnsi="Times New Roman" w:cs="Times New Roman"/>
                <w:color w:val="000000"/>
                <w:sz w:val="20"/>
                <w:szCs w:val="20"/>
                <w:lang w:eastAsia="ru-RU"/>
              </w:rPr>
              <w:t>инсуффляцию</w:t>
            </w:r>
            <w:r w:rsidRPr="00EA1B6E">
              <w:rPr>
                <w:rFonts w:ascii="Times New Roman" w:eastAsia="Times New Roman" w:hAnsi="Times New Roman" w:cs="Times New Roman"/>
                <w:color w:val="000000"/>
                <w:sz w:val="20"/>
                <w:szCs w:val="20"/>
                <w:lang w:eastAsia="ru-RU"/>
              </w:rPr>
              <w:t xml:space="preserve"> желудка.</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1035"/>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Основание маски имеет перемычки. Защищают от возможной блокады надгортанником.</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1800"/>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Канал для раздувания манжеты подвижен. Для обеспечения доступа при выполнении хирургических вмешательств на голове и шее.</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3075"/>
        </w:trPr>
        <w:tc>
          <w:tcPr>
            <w:tcW w:w="142" w:type="pct"/>
            <w:tcBorders>
              <w:top w:val="single" w:sz="4" w:space="0" w:color="auto"/>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jc w:val="right"/>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2</w:t>
            </w:r>
          </w:p>
        </w:tc>
        <w:tc>
          <w:tcPr>
            <w:tcW w:w="561"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Маска ларингеальная, одноразового использования</w:t>
            </w:r>
          </w:p>
        </w:tc>
        <w:tc>
          <w:tcPr>
            <w:tcW w:w="372"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32.50.21.129-00000035**</w:t>
            </w:r>
          </w:p>
        </w:tc>
        <w:tc>
          <w:tcPr>
            <w:tcW w:w="523"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Одноразовая ларингеальная маска: воздуховод надгортанный для обеспечения проходимости дыхательных путей при наркозе и ИВЛ во время операций, а также, при неудавшейся интубации, в экстренных случаях, может использоваться в качестве проводника.</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jc w:val="right"/>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40</w:t>
            </w:r>
          </w:p>
        </w:tc>
        <w:tc>
          <w:tcPr>
            <w:tcW w:w="311"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3585"/>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FF0000"/>
                <w:sz w:val="20"/>
                <w:szCs w:val="20"/>
                <w:lang w:eastAsia="ru-RU"/>
              </w:rPr>
            </w:pPr>
            <w:r w:rsidRPr="00EA1B6E">
              <w:rPr>
                <w:rFonts w:ascii="Times New Roman" w:eastAsia="Times New Roman" w:hAnsi="Times New Roman" w:cs="Times New Roman"/>
                <w:color w:val="FF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FF0000"/>
                <w:sz w:val="20"/>
                <w:szCs w:val="20"/>
                <w:lang w:eastAsia="ru-RU"/>
              </w:rPr>
            </w:pPr>
            <w:r w:rsidRPr="00EA1B6E">
              <w:rPr>
                <w:rFonts w:ascii="Times New Roman" w:eastAsia="Times New Roman" w:hAnsi="Times New Roman" w:cs="Times New Roman"/>
                <w:color w:val="FF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Прозрачный воздуховод, вводимый в ротоглотку с мягкой нераздуваемой манжетой из термопластичного гелеподобного  эластомера, с блокатором надгортанника, с защитным усилением воздуховода, с 15-миллиметровым коннектором 15М, желудочным каналом с проксимальным портом</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2565"/>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Размер 3, 4 (по заявке Заказчика) (размер 3 для пациента с массой тела 30-60кг / размер 4 для пациентов с массой тела 50-90 кг, для проведения эндотрахеальной трубки 7мм/7,5мм, для назогастрального зонда 10Fr/12Fr).</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1035"/>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Материалы: полимер, пластик</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1035"/>
        </w:trPr>
        <w:tc>
          <w:tcPr>
            <w:tcW w:w="142"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Стерильно</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2310"/>
        </w:trPr>
        <w:tc>
          <w:tcPr>
            <w:tcW w:w="142" w:type="pct"/>
            <w:tcBorders>
              <w:top w:val="single" w:sz="4" w:space="0" w:color="auto"/>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jc w:val="right"/>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3</w:t>
            </w:r>
          </w:p>
        </w:tc>
        <w:tc>
          <w:tcPr>
            <w:tcW w:w="561"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Канюля назальная стандартная для подачи кислорода</w:t>
            </w:r>
          </w:p>
        </w:tc>
        <w:tc>
          <w:tcPr>
            <w:tcW w:w="372"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32.50.13.110-00005037**</w:t>
            </w:r>
          </w:p>
        </w:tc>
        <w:tc>
          <w:tcPr>
            <w:tcW w:w="523"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Одноразовые назальные канюли для детей младшего возраста для удобной и эффективной доставки оптимально увлажненной дыхательной смеси с варьированием потока при проведении респираторной терапии. </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Соответствие </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jc w:val="right"/>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20</w:t>
            </w:r>
          </w:p>
        </w:tc>
        <w:tc>
          <w:tcPr>
            <w:tcW w:w="311"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single" w:sz="4" w:space="0" w:color="auto"/>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2310"/>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FF0000"/>
                <w:sz w:val="20"/>
                <w:szCs w:val="20"/>
                <w:lang w:eastAsia="ru-RU"/>
              </w:rPr>
            </w:pPr>
            <w:r w:rsidRPr="00EA1B6E">
              <w:rPr>
                <w:rFonts w:ascii="Times New Roman" w:eastAsia="Times New Roman" w:hAnsi="Times New Roman" w:cs="Times New Roman"/>
                <w:color w:val="FF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FF0000"/>
                <w:sz w:val="20"/>
                <w:szCs w:val="20"/>
                <w:lang w:eastAsia="ru-RU"/>
              </w:rPr>
            </w:pPr>
            <w:r w:rsidRPr="00EA1B6E">
              <w:rPr>
                <w:rFonts w:ascii="Times New Roman" w:eastAsia="Times New Roman" w:hAnsi="Times New Roman" w:cs="Times New Roman"/>
                <w:color w:val="FF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xml:space="preserve">Канюля используется в различных видах терапии дыхательных систем, включая высокоскоростной назальный поток, низкоскоростной поток кислорода и увлажняющую терапию. </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1290"/>
        </w:trPr>
        <w:tc>
          <w:tcPr>
            <w:tcW w:w="142"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Помогает облегчить гипоксемию и улучшить оксигенацию, повышает комфорт пациента при лечении.</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70"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247" w:type="pct"/>
            <w:tcBorders>
              <w:top w:val="nil"/>
              <w:left w:val="nil"/>
              <w:bottom w:val="nil"/>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r>
      <w:tr w:rsidR="00EA1B6E" w:rsidRPr="00EA1B6E" w:rsidTr="00EA1B6E">
        <w:trPr>
          <w:trHeight w:val="2310"/>
        </w:trPr>
        <w:tc>
          <w:tcPr>
            <w:tcW w:w="142" w:type="pct"/>
            <w:tcBorders>
              <w:top w:val="nil"/>
              <w:left w:val="single" w:sz="4" w:space="0" w:color="auto"/>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561"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Канюли с широким отверстием выполнены в виде нестерильной полужёсткой трубки для введения в ноздри пациента, фиксируются при помощи клеящихся подушечек на щеки пациента.</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270"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r>
      <w:tr w:rsidR="00EA1B6E" w:rsidRPr="00EA1B6E" w:rsidTr="00EA1B6E">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561"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Максимальный уровень потока, л/мин</w:t>
            </w:r>
          </w:p>
        </w:tc>
        <w:tc>
          <w:tcPr>
            <w:tcW w:w="499" w:type="pct"/>
            <w:tcBorders>
              <w:top w:val="nil"/>
              <w:left w:val="nil"/>
              <w:bottom w:val="single" w:sz="4" w:space="0" w:color="auto"/>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25</w:t>
            </w:r>
          </w:p>
        </w:tc>
        <w:tc>
          <w:tcPr>
            <w:tcW w:w="436" w:type="pct"/>
            <w:tcBorders>
              <w:top w:val="nil"/>
              <w:left w:val="nil"/>
              <w:bottom w:val="single" w:sz="4" w:space="0" w:color="auto"/>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B0F0"/>
                <w:sz w:val="20"/>
                <w:szCs w:val="20"/>
                <w:lang w:eastAsia="ru-RU"/>
              </w:rPr>
            </w:pPr>
            <w:r w:rsidRPr="00EA1B6E">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270"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r>
      <w:tr w:rsidR="00EA1B6E" w:rsidRPr="00EA1B6E" w:rsidTr="00EA1B6E">
        <w:trPr>
          <w:trHeight w:val="1035"/>
        </w:trPr>
        <w:tc>
          <w:tcPr>
            <w:tcW w:w="142" w:type="pct"/>
            <w:tcBorders>
              <w:top w:val="nil"/>
              <w:left w:val="single" w:sz="4" w:space="0" w:color="auto"/>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561"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Масса пациента: от 12 до 22 кг</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270"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247" w:type="pct"/>
            <w:tcBorders>
              <w:top w:val="nil"/>
              <w:left w:val="nil"/>
              <w:bottom w:val="nil"/>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r>
      <w:tr w:rsidR="00EA1B6E" w:rsidRPr="00EA1B6E" w:rsidTr="00EA1B6E">
        <w:trPr>
          <w:trHeight w:val="103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561" w:type="pct"/>
            <w:tcBorders>
              <w:top w:val="nil"/>
              <w:left w:val="nil"/>
              <w:bottom w:val="single" w:sz="4" w:space="0" w:color="auto"/>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372" w:type="pct"/>
            <w:tcBorders>
              <w:top w:val="nil"/>
              <w:left w:val="nil"/>
              <w:bottom w:val="single" w:sz="4" w:space="0" w:color="auto"/>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523" w:type="pct"/>
            <w:tcBorders>
              <w:top w:val="nil"/>
              <w:left w:val="single" w:sz="4" w:space="0" w:color="auto"/>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Источник газа: воздух, кислород</w:t>
            </w:r>
          </w:p>
        </w:tc>
        <w:tc>
          <w:tcPr>
            <w:tcW w:w="499"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 </w:t>
            </w:r>
          </w:p>
        </w:tc>
        <w:tc>
          <w:tcPr>
            <w:tcW w:w="440" w:type="pct"/>
            <w:tcBorders>
              <w:top w:val="nil"/>
              <w:left w:val="nil"/>
              <w:bottom w:val="single" w:sz="4" w:space="0" w:color="auto"/>
              <w:right w:val="single" w:sz="4" w:space="0" w:color="auto"/>
            </w:tcBorders>
            <w:shd w:val="clear" w:color="auto" w:fill="auto"/>
            <w:vAlign w:val="bottom"/>
            <w:hideMark/>
          </w:tcPr>
          <w:p w:rsidR="00EA1B6E" w:rsidRPr="00EA1B6E" w:rsidRDefault="00EA1B6E" w:rsidP="00EA1B6E">
            <w:pPr>
              <w:spacing w:after="0" w:line="240" w:lineRule="auto"/>
              <w:rPr>
                <w:rFonts w:ascii="Times New Roman" w:eastAsia="Times New Roman" w:hAnsi="Times New Roman" w:cs="Times New Roman"/>
                <w:color w:val="000000"/>
                <w:sz w:val="20"/>
                <w:szCs w:val="20"/>
                <w:lang w:eastAsia="ru-RU"/>
              </w:rPr>
            </w:pPr>
            <w:r w:rsidRPr="00EA1B6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434" w:type="pct"/>
            <w:tcBorders>
              <w:top w:val="nil"/>
              <w:left w:val="nil"/>
              <w:bottom w:val="single" w:sz="4" w:space="0" w:color="auto"/>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270" w:type="pct"/>
            <w:tcBorders>
              <w:top w:val="nil"/>
              <w:left w:val="nil"/>
              <w:bottom w:val="single" w:sz="4" w:space="0" w:color="auto"/>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261" w:type="pct"/>
            <w:tcBorders>
              <w:top w:val="nil"/>
              <w:left w:val="nil"/>
              <w:bottom w:val="single" w:sz="4" w:space="0" w:color="auto"/>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c>
          <w:tcPr>
            <w:tcW w:w="247" w:type="pct"/>
            <w:tcBorders>
              <w:top w:val="nil"/>
              <w:left w:val="nil"/>
              <w:bottom w:val="single" w:sz="4" w:space="0" w:color="auto"/>
              <w:right w:val="single" w:sz="4" w:space="0" w:color="auto"/>
            </w:tcBorders>
            <w:shd w:val="clear" w:color="auto" w:fill="auto"/>
            <w:noWrap/>
            <w:vAlign w:val="bottom"/>
            <w:hideMark/>
          </w:tcPr>
          <w:p w:rsidR="00EA1B6E" w:rsidRPr="00EA1B6E" w:rsidRDefault="00EA1B6E" w:rsidP="00EA1B6E">
            <w:pPr>
              <w:spacing w:after="0" w:line="240" w:lineRule="auto"/>
              <w:rPr>
                <w:rFonts w:ascii="Calibri" w:eastAsia="Times New Roman" w:hAnsi="Calibri" w:cs="Times New Roman"/>
                <w:color w:val="000000"/>
                <w:lang w:eastAsia="ru-RU"/>
              </w:rPr>
            </w:pPr>
            <w:r w:rsidRPr="00EA1B6E">
              <w:rPr>
                <w:rFonts w:ascii="Calibri" w:eastAsia="Times New Roman" w:hAnsi="Calibri" w:cs="Times New Roman"/>
                <w:color w:val="000000"/>
                <w:lang w:eastAsia="ru-RU"/>
              </w:rPr>
              <w:t> </w:t>
            </w:r>
          </w:p>
        </w:tc>
      </w:tr>
    </w:tbl>
    <w:p w:rsidR="00EA1B6E" w:rsidRDefault="00EA1B6E" w:rsidP="00EA1B6E">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712E4A">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712E4A">
        <w:rPr>
          <w:rFonts w:ascii="Roboto" w:hAnsi="Roboto" w:cs="Roboto"/>
          <w:color w:val="333333"/>
          <w:highlight w:val="white"/>
        </w:rPr>
        <w:t xml:space="preserve"> </w:t>
      </w:r>
      <w:r>
        <w:rPr>
          <w:rFonts w:ascii="Calibri" w:hAnsi="Calibri" w:cs="Calibri"/>
          <w:color w:val="333333"/>
          <w:highlight w:val="white"/>
        </w:rPr>
        <w:t>России</w:t>
      </w:r>
      <w:r w:rsidRPr="00712E4A">
        <w:rPr>
          <w:rFonts w:ascii="Roboto" w:hAnsi="Roboto" w:cs="Roboto"/>
          <w:color w:val="333333"/>
          <w:highlight w:val="white"/>
        </w:rPr>
        <w:t xml:space="preserve"> </w:t>
      </w:r>
      <w:r>
        <w:rPr>
          <w:rFonts w:ascii="Calibri" w:hAnsi="Calibri" w:cs="Calibri"/>
          <w:color w:val="333333"/>
          <w:highlight w:val="white"/>
        </w:rPr>
        <w:t>от</w:t>
      </w:r>
      <w:r w:rsidRPr="00712E4A">
        <w:rPr>
          <w:rFonts w:ascii="Roboto" w:hAnsi="Roboto" w:cs="Roboto"/>
          <w:color w:val="333333"/>
          <w:highlight w:val="white"/>
        </w:rPr>
        <w:t xml:space="preserve"> 24 </w:t>
      </w:r>
      <w:r>
        <w:rPr>
          <w:rFonts w:ascii="Calibri" w:hAnsi="Calibri" w:cs="Calibri"/>
          <w:color w:val="333333"/>
          <w:highlight w:val="white"/>
        </w:rPr>
        <w:t>января</w:t>
      </w:r>
      <w:r w:rsidRPr="00712E4A">
        <w:rPr>
          <w:rFonts w:ascii="Roboto" w:hAnsi="Roboto" w:cs="Roboto"/>
          <w:color w:val="333333"/>
          <w:highlight w:val="white"/>
        </w:rPr>
        <w:t xml:space="preserve"> 2022 </w:t>
      </w:r>
      <w:r>
        <w:rPr>
          <w:rFonts w:ascii="Calibri" w:hAnsi="Calibri" w:cs="Calibri"/>
          <w:color w:val="333333"/>
          <w:highlight w:val="white"/>
        </w:rPr>
        <w:t>г</w:t>
      </w:r>
      <w:r w:rsidRPr="00712E4A">
        <w:rPr>
          <w:rFonts w:ascii="Roboto" w:hAnsi="Roboto" w:cs="Roboto"/>
          <w:color w:val="333333"/>
          <w:highlight w:val="white"/>
        </w:rPr>
        <w:t xml:space="preserve">. </w:t>
      </w:r>
      <w:r>
        <w:rPr>
          <w:rFonts w:ascii="Roboto" w:hAnsi="Roboto" w:cs="Roboto"/>
          <w:color w:val="333333"/>
          <w:highlight w:val="white"/>
          <w:lang w:val="en-US"/>
        </w:rPr>
        <w:t>N</w:t>
      </w:r>
      <w:r w:rsidRPr="00712E4A">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EA1B6E">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EF6" w:rsidRDefault="00D70EF6">
      <w:pPr>
        <w:spacing w:after="0" w:line="240" w:lineRule="auto"/>
      </w:pPr>
      <w:r>
        <w:separator/>
      </w:r>
    </w:p>
  </w:endnote>
  <w:endnote w:type="continuationSeparator" w:id="0">
    <w:p w:rsidR="00D70EF6" w:rsidRDefault="00D7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2158" w:rsidRDefault="00E1215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1215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1215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1215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1215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B1E7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1215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B1E7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EF6" w:rsidRDefault="00D70EF6">
      <w:pPr>
        <w:spacing w:after="0" w:line="240" w:lineRule="auto"/>
      </w:pPr>
      <w:r>
        <w:separator/>
      </w:r>
    </w:p>
  </w:footnote>
  <w:footnote w:type="continuationSeparator" w:id="0">
    <w:p w:rsidR="00D70EF6" w:rsidRDefault="00D70EF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2158" w:rsidRDefault="00E1215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2158" w:rsidRDefault="00E1215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12158" w:rsidRDefault="00E1215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063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4A72"/>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6F69"/>
    <w:rsid w:val="00A873F6"/>
    <w:rsid w:val="00A8777F"/>
    <w:rsid w:val="00A91698"/>
    <w:rsid w:val="00A91A44"/>
    <w:rsid w:val="00A94C5C"/>
    <w:rsid w:val="00AA2E5F"/>
    <w:rsid w:val="00AA2EED"/>
    <w:rsid w:val="00AB133D"/>
    <w:rsid w:val="00AB2243"/>
    <w:rsid w:val="00AE1B0F"/>
    <w:rsid w:val="00AE3138"/>
    <w:rsid w:val="00AF03B1"/>
    <w:rsid w:val="00AF135F"/>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B1E7A"/>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0EF6"/>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12158"/>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1B6E"/>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5646"/>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19758095">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B405B-BA09-4E5B-8DE5-003557BD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1857</Words>
  <Characters>10588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2026-04-02T07:51:00Z</dcterms:created>
  <dcterms:modified xsi:type="dcterms:W3CDTF">2026-04-02T07:51:00Z</dcterms:modified>
</cp:coreProperties>
</file>