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17.06.2026 № 21.1-03/1315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D47B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9156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программно-аппаратного комплекса для управления электронной очередью c монтажом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30 календарных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9156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9156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91568">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B91568">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Y="1"/>
        <w:tblOverlap w:val="never"/>
        <w:tblW w:w="16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842"/>
        <w:gridCol w:w="993"/>
        <w:gridCol w:w="992"/>
        <w:gridCol w:w="3250"/>
        <w:gridCol w:w="1418"/>
        <w:gridCol w:w="1134"/>
        <w:gridCol w:w="1711"/>
        <w:gridCol w:w="992"/>
        <w:gridCol w:w="850"/>
        <w:gridCol w:w="1276"/>
        <w:gridCol w:w="1134"/>
      </w:tblGrid>
      <w:tr w:rsidR="00B91568" w:rsidRPr="009212C7" w:rsidTr="00966A38">
        <w:tc>
          <w:tcPr>
            <w:tcW w:w="431" w:type="dxa"/>
            <w:vMerge w:val="restart"/>
            <w:vAlign w:val="center"/>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w:t>
            </w:r>
          </w:p>
        </w:tc>
        <w:tc>
          <w:tcPr>
            <w:tcW w:w="1842" w:type="dxa"/>
            <w:vMerge w:val="restart"/>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Наименование товара, работы, услуги</w:t>
            </w:r>
          </w:p>
        </w:tc>
        <w:tc>
          <w:tcPr>
            <w:tcW w:w="993" w:type="dxa"/>
            <w:vMerge w:val="restart"/>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Код позиции</w:t>
            </w:r>
          </w:p>
        </w:tc>
        <w:tc>
          <w:tcPr>
            <w:tcW w:w="992" w:type="dxa"/>
            <w:vMerge w:val="restart"/>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Товарный знак</w:t>
            </w:r>
          </w:p>
        </w:tc>
        <w:tc>
          <w:tcPr>
            <w:tcW w:w="7513" w:type="dxa"/>
            <w:gridSpan w:val="4"/>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Характеристики товара, работы, услуги</w:t>
            </w:r>
          </w:p>
        </w:tc>
        <w:tc>
          <w:tcPr>
            <w:tcW w:w="992" w:type="dxa"/>
            <w:vMerge w:val="restart"/>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Кол</w:t>
            </w:r>
            <w:r>
              <w:rPr>
                <w:rFonts w:ascii="Times New Roman" w:hAnsi="Times New Roman" w:cs="Times New Roman"/>
                <w:b/>
                <w:bCs/>
                <w:color w:val="000000"/>
                <w:sz w:val="16"/>
                <w:szCs w:val="16"/>
                <w:lang w:eastAsia="ru-RU"/>
              </w:rPr>
              <w:t>-</w:t>
            </w:r>
            <w:r w:rsidRPr="009212C7">
              <w:rPr>
                <w:rFonts w:ascii="Times New Roman" w:hAnsi="Times New Roman" w:cs="Times New Roman"/>
                <w:b/>
                <w:bCs/>
                <w:color w:val="000000"/>
                <w:sz w:val="16"/>
                <w:szCs w:val="16"/>
                <w:lang w:eastAsia="ru-RU"/>
              </w:rPr>
              <w:t>во</w:t>
            </w:r>
          </w:p>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(объем работы, услуги)</w:t>
            </w:r>
          </w:p>
        </w:tc>
        <w:tc>
          <w:tcPr>
            <w:tcW w:w="850" w:type="dxa"/>
            <w:vMerge w:val="restart"/>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Ед. изм.</w:t>
            </w:r>
          </w:p>
        </w:tc>
        <w:tc>
          <w:tcPr>
            <w:tcW w:w="1276" w:type="dxa"/>
            <w:vMerge w:val="restart"/>
            <w:shd w:val="clear" w:color="auto" w:fill="FFFF00"/>
            <w:vAlign w:val="center"/>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Страна происхождения</w:t>
            </w:r>
          </w:p>
        </w:tc>
        <w:tc>
          <w:tcPr>
            <w:tcW w:w="1134" w:type="dxa"/>
            <w:vMerge w:val="restart"/>
            <w:shd w:val="clear" w:color="auto" w:fill="FFFF00"/>
            <w:vAlign w:val="center"/>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Сумма (руб.)</w:t>
            </w:r>
          </w:p>
        </w:tc>
      </w:tr>
      <w:tr w:rsidR="00B91568" w:rsidRPr="009212C7" w:rsidTr="00966A38">
        <w:trPr>
          <w:trHeight w:val="422"/>
        </w:trPr>
        <w:tc>
          <w:tcPr>
            <w:tcW w:w="431" w:type="dxa"/>
            <w:vMerge/>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1842" w:type="dxa"/>
            <w:vMerge/>
            <w:vAlign w:val="center"/>
            <w:hideMark/>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993" w:type="dxa"/>
            <w:vMerge/>
            <w:vAlign w:val="center"/>
            <w:hideMark/>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992" w:type="dxa"/>
            <w:vMerge/>
            <w:vAlign w:val="center"/>
            <w:hideMark/>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3250" w:type="dxa"/>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Наименование характеристики</w:t>
            </w:r>
          </w:p>
        </w:tc>
        <w:tc>
          <w:tcPr>
            <w:tcW w:w="1418" w:type="dxa"/>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Единица измерения характеристики</w:t>
            </w:r>
          </w:p>
        </w:tc>
        <w:tc>
          <w:tcPr>
            <w:tcW w:w="1711" w:type="dxa"/>
            <w:tcMar>
              <w:top w:w="75" w:type="dxa"/>
              <w:left w:w="75" w:type="dxa"/>
              <w:bottom w:w="75" w:type="dxa"/>
              <w:right w:w="75" w:type="dxa"/>
            </w:tcMar>
            <w:vAlign w:val="center"/>
            <w:hideMark/>
          </w:tcPr>
          <w:p w:rsidR="00B91568" w:rsidRPr="009212C7" w:rsidRDefault="00B91568" w:rsidP="00966A38">
            <w:pPr>
              <w:spacing w:after="0" w:line="240" w:lineRule="auto"/>
              <w:ind w:right="57"/>
              <w:jc w:val="center"/>
              <w:rPr>
                <w:rFonts w:ascii="Times New Roman" w:hAnsi="Times New Roman" w:cs="Times New Roman"/>
                <w:b/>
                <w:bCs/>
                <w:color w:val="000000"/>
                <w:sz w:val="16"/>
                <w:szCs w:val="16"/>
                <w:lang w:eastAsia="ru-RU"/>
              </w:rPr>
            </w:pPr>
            <w:r w:rsidRPr="009212C7">
              <w:rPr>
                <w:rFonts w:ascii="Times New Roman" w:hAnsi="Times New Roman" w:cs="Times New Roman"/>
                <w:b/>
                <w:bCs/>
                <w:color w:val="000000"/>
                <w:sz w:val="16"/>
                <w:szCs w:val="16"/>
                <w:lang w:eastAsia="ru-RU"/>
              </w:rPr>
              <w:t>Инструкция по заполнению характеристик в заявке</w:t>
            </w:r>
          </w:p>
        </w:tc>
        <w:tc>
          <w:tcPr>
            <w:tcW w:w="992" w:type="dxa"/>
            <w:vMerge/>
            <w:vAlign w:val="center"/>
            <w:hideMark/>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850" w:type="dxa"/>
            <w:vMerge/>
            <w:vAlign w:val="center"/>
            <w:hideMark/>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r>
      <w:tr w:rsidR="00B91568" w:rsidRPr="009212C7" w:rsidTr="00966A38">
        <w:trPr>
          <w:trHeight w:val="422"/>
        </w:trPr>
        <w:tc>
          <w:tcPr>
            <w:tcW w:w="431" w:type="dxa"/>
            <w:vMerge w:val="restart"/>
          </w:tcPr>
          <w:p w:rsidR="00B91568" w:rsidRPr="009212C7" w:rsidRDefault="00B91568" w:rsidP="00966A38">
            <w:pPr>
              <w:spacing w:after="0" w:line="240" w:lineRule="auto"/>
              <w:jc w:val="center"/>
              <w:rPr>
                <w:rFonts w:ascii="Times New Roman" w:hAnsi="Times New Roman" w:cs="Times New Roman"/>
                <w:bCs/>
                <w:color w:val="000000"/>
                <w:sz w:val="16"/>
                <w:szCs w:val="16"/>
                <w:lang w:eastAsia="ru-RU"/>
              </w:rPr>
            </w:pPr>
            <w:r w:rsidRPr="009212C7">
              <w:rPr>
                <w:rFonts w:ascii="Times New Roman" w:hAnsi="Times New Roman" w:cs="Times New Roman"/>
                <w:bCs/>
                <w:color w:val="000000"/>
                <w:sz w:val="16"/>
                <w:szCs w:val="16"/>
                <w:lang w:eastAsia="ru-RU"/>
              </w:rPr>
              <w:t>1</w:t>
            </w:r>
          </w:p>
        </w:tc>
        <w:tc>
          <w:tcPr>
            <w:tcW w:w="1842" w:type="dxa"/>
            <w:vMerge w:val="restart"/>
          </w:tcPr>
          <w:p w:rsidR="00B91568" w:rsidRPr="009212C7" w:rsidRDefault="00B91568" w:rsidP="00966A38">
            <w:pPr>
              <w:spacing w:after="0" w:line="240" w:lineRule="auto"/>
              <w:ind w:left="141" w:right="139"/>
              <w:rPr>
                <w:rFonts w:ascii="Times New Roman" w:hAnsi="Times New Roman" w:cs="Times New Roman"/>
                <w:b/>
                <w:bCs/>
                <w:color w:val="000000"/>
                <w:sz w:val="16"/>
                <w:szCs w:val="16"/>
                <w:lang w:eastAsia="ru-RU"/>
              </w:rPr>
            </w:pPr>
            <w:r w:rsidRPr="009212C7">
              <w:rPr>
                <w:rFonts w:ascii="Times New Roman" w:hAnsi="Times New Roman" w:cs="Times New Roman"/>
                <w:sz w:val="16"/>
                <w:szCs w:val="16"/>
              </w:rPr>
              <w:t xml:space="preserve">Программно-аппаратный комплекс для управления электронной очередью </w:t>
            </w:r>
            <w:r w:rsidRPr="009212C7">
              <w:rPr>
                <w:rFonts w:ascii="Times New Roman" w:hAnsi="Times New Roman" w:cs="Times New Roman"/>
                <w:sz w:val="16"/>
                <w:szCs w:val="16"/>
                <w:lang w:val="en-US"/>
              </w:rPr>
              <w:t>c</w:t>
            </w:r>
            <w:r w:rsidRPr="009212C7">
              <w:rPr>
                <w:rFonts w:ascii="Times New Roman" w:hAnsi="Times New Roman" w:cs="Times New Roman"/>
                <w:sz w:val="16"/>
                <w:szCs w:val="16"/>
              </w:rPr>
              <w:t xml:space="preserve"> монтажом</w:t>
            </w:r>
          </w:p>
        </w:tc>
        <w:tc>
          <w:tcPr>
            <w:tcW w:w="993" w:type="dxa"/>
            <w:vMerge w:val="restart"/>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r w:rsidRPr="009212C7">
              <w:rPr>
                <w:rFonts w:ascii="Times New Roman" w:hAnsi="Times New Roman" w:cs="Times New Roman"/>
                <w:sz w:val="16"/>
                <w:szCs w:val="16"/>
              </w:rPr>
              <w:t>26.20.16.140</w:t>
            </w:r>
          </w:p>
        </w:tc>
        <w:tc>
          <w:tcPr>
            <w:tcW w:w="992" w:type="dxa"/>
            <w:vMerge w:val="restart"/>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Конструктивное исполнение</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 xml:space="preserve">Напольное </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val="restart"/>
          </w:tcPr>
          <w:p w:rsidR="00B91568" w:rsidRPr="009212C7" w:rsidRDefault="00B91568" w:rsidP="00966A38">
            <w:pPr>
              <w:spacing w:after="0" w:line="240" w:lineRule="auto"/>
              <w:jc w:val="center"/>
              <w:rPr>
                <w:rFonts w:ascii="Times New Roman" w:hAnsi="Times New Roman" w:cs="Times New Roman"/>
                <w:bCs/>
                <w:color w:val="000000"/>
                <w:sz w:val="16"/>
                <w:szCs w:val="16"/>
                <w:lang w:eastAsia="ru-RU"/>
              </w:rPr>
            </w:pPr>
            <w:r w:rsidRPr="009212C7">
              <w:rPr>
                <w:rFonts w:ascii="Times New Roman" w:hAnsi="Times New Roman" w:cs="Times New Roman"/>
                <w:bCs/>
                <w:color w:val="000000"/>
                <w:sz w:val="16"/>
                <w:szCs w:val="16"/>
                <w:lang w:eastAsia="ru-RU"/>
              </w:rPr>
              <w:t>1</w:t>
            </w:r>
          </w:p>
        </w:tc>
        <w:tc>
          <w:tcPr>
            <w:tcW w:w="850" w:type="dxa"/>
            <w:vMerge w:val="restart"/>
          </w:tcPr>
          <w:p w:rsidR="00B91568" w:rsidRPr="009212C7" w:rsidRDefault="00B91568" w:rsidP="00966A38">
            <w:pPr>
              <w:spacing w:after="0" w:line="240" w:lineRule="auto"/>
              <w:jc w:val="center"/>
              <w:rPr>
                <w:rFonts w:ascii="Times New Roman" w:hAnsi="Times New Roman" w:cs="Times New Roman"/>
                <w:bCs/>
                <w:color w:val="000000"/>
                <w:sz w:val="16"/>
                <w:szCs w:val="16"/>
                <w:lang w:eastAsia="ru-RU"/>
              </w:rPr>
            </w:pPr>
            <w:r w:rsidRPr="009212C7">
              <w:rPr>
                <w:rFonts w:ascii="Times New Roman" w:hAnsi="Times New Roman" w:cs="Times New Roman"/>
                <w:bCs/>
                <w:color w:val="000000"/>
                <w:sz w:val="16"/>
                <w:szCs w:val="16"/>
                <w:lang w:eastAsia="ru-RU"/>
              </w:rPr>
              <w:t>Штука</w:t>
            </w:r>
          </w:p>
        </w:tc>
        <w:tc>
          <w:tcPr>
            <w:tcW w:w="1276" w:type="dxa"/>
            <w:vMerge w:val="restart"/>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1134" w:type="dxa"/>
            <w:vMerge w:val="restart"/>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r>
      <w:tr w:rsidR="00B91568" w:rsidRPr="009212C7" w:rsidTr="00966A38">
        <w:trPr>
          <w:trHeight w:val="422"/>
        </w:trPr>
        <w:tc>
          <w:tcPr>
            <w:tcW w:w="431" w:type="dxa"/>
            <w:vMerge/>
          </w:tcPr>
          <w:p w:rsidR="00B91568" w:rsidRPr="009212C7" w:rsidRDefault="00B91568" w:rsidP="00966A38">
            <w:pPr>
              <w:spacing w:after="0" w:line="240" w:lineRule="auto"/>
              <w:rPr>
                <w:rFonts w:ascii="Times New Roman" w:hAnsi="Times New Roman" w:cs="Times New Roman"/>
                <w:bCs/>
                <w:color w:val="000000"/>
                <w:sz w:val="16"/>
                <w:szCs w:val="16"/>
                <w:lang w:eastAsia="ru-RU"/>
              </w:rPr>
            </w:pPr>
          </w:p>
        </w:tc>
        <w:tc>
          <w:tcPr>
            <w:tcW w:w="1842" w:type="dxa"/>
            <w:vMerge/>
          </w:tcPr>
          <w:p w:rsidR="00B91568" w:rsidRPr="009212C7" w:rsidRDefault="00B91568" w:rsidP="00966A38">
            <w:pPr>
              <w:spacing w:after="0" w:line="240" w:lineRule="auto"/>
              <w:ind w:left="141"/>
              <w:rPr>
                <w:rFonts w:ascii="Times New Roman" w:hAnsi="Times New Roman" w:cs="Times New Roman"/>
                <w:b/>
                <w:bCs/>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b/>
                <w:bCs/>
                <w:color w:val="000000"/>
                <w:sz w:val="16"/>
                <w:szCs w:val="16"/>
                <w:lang w:eastAsia="ru-RU"/>
              </w:rPr>
            </w:pPr>
          </w:p>
        </w:tc>
        <w:tc>
          <w:tcPr>
            <w:tcW w:w="992" w:type="dxa"/>
            <w:vMerge/>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Материал корпуса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Металлический</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bCs/>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bCs/>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rPr>
                <w:rFonts w:ascii="Times New Roman" w:hAnsi="Times New Roman" w:cs="Times New Roman"/>
                <w:b/>
                <w:bCs/>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sz w:val="16"/>
                <w:szCs w:val="16"/>
              </w:rPr>
            </w:pPr>
          </w:p>
        </w:tc>
        <w:tc>
          <w:tcPr>
            <w:tcW w:w="993" w:type="dxa"/>
            <w:vMerge/>
          </w:tcPr>
          <w:p w:rsidR="00B91568" w:rsidRPr="009212C7" w:rsidRDefault="00B91568" w:rsidP="00966A38">
            <w:pPr>
              <w:spacing w:after="0" w:line="240" w:lineRule="auto"/>
              <w:jc w:val="center"/>
              <w:rPr>
                <w:rFonts w:ascii="Times New Roman" w:hAnsi="Times New Roman" w:cs="Times New Roman"/>
                <w:sz w:val="16"/>
                <w:szCs w:val="16"/>
              </w:rPr>
            </w:pPr>
          </w:p>
        </w:tc>
        <w:tc>
          <w:tcPr>
            <w:tcW w:w="992"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Диагональ сенсорного экрана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19</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sz w:val="16"/>
                <w:szCs w:val="16"/>
              </w:rPr>
              <w:t>Д</w:t>
            </w:r>
            <w:r w:rsidRPr="009212C7">
              <w:rPr>
                <w:rFonts w:ascii="Times New Roman" w:hAnsi="Times New Roman" w:cs="Times New Roman"/>
                <w:sz w:val="16"/>
                <w:szCs w:val="16"/>
              </w:rPr>
              <w:t>юйм</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sz w:val="16"/>
                <w:szCs w:val="16"/>
              </w:rPr>
            </w:pPr>
          </w:p>
        </w:tc>
        <w:tc>
          <w:tcPr>
            <w:tcW w:w="993" w:type="dxa"/>
            <w:vMerge/>
          </w:tcPr>
          <w:p w:rsidR="00B91568" w:rsidRPr="009212C7" w:rsidRDefault="00B91568" w:rsidP="00966A38">
            <w:pPr>
              <w:spacing w:after="0" w:line="240" w:lineRule="auto"/>
              <w:jc w:val="center"/>
              <w:rPr>
                <w:rFonts w:ascii="Times New Roman" w:hAnsi="Times New Roman" w:cs="Times New Roman"/>
                <w:sz w:val="16"/>
                <w:szCs w:val="16"/>
              </w:rPr>
            </w:pPr>
          </w:p>
        </w:tc>
        <w:tc>
          <w:tcPr>
            <w:tcW w:w="992"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Тип сенсорного экрана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 xml:space="preserve">Ёмкостный </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Разрешение экрана</w:t>
            </w:r>
            <w:r>
              <w:rPr>
                <w:rFonts w:ascii="Times New Roman" w:hAnsi="Times New Roman" w:cs="Times New Roman"/>
                <w:sz w:val="16"/>
                <w:szCs w:val="16"/>
              </w:rPr>
              <w:t>, пиксель</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 xml:space="preserve">1280×1024 </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Количество ядер процессора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 xml:space="preserve">4  </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Т</w:t>
            </w:r>
            <w:r w:rsidRPr="009212C7">
              <w:rPr>
                <w:rFonts w:ascii="Times New Roman" w:hAnsi="Times New Roman" w:cs="Times New Roman"/>
                <w:sz w:val="16"/>
                <w:szCs w:val="16"/>
              </w:rPr>
              <w:t>актовая частота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1,6</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sz w:val="16"/>
                <w:szCs w:val="16"/>
              </w:rPr>
              <w:t>Гигагерц</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Объём оперативной памяти</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 xml:space="preserve">4 </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sz w:val="16"/>
                <w:szCs w:val="16"/>
              </w:rPr>
              <w:t>Гигабайт</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Объём накопителя</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64</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sz w:val="16"/>
                <w:szCs w:val="16"/>
              </w:rPr>
              <w:t>Гигабайт</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Тип накопителя</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SSD</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Принтер чеков</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Встроенный термопринтер</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Ш</w:t>
            </w:r>
            <w:r w:rsidRPr="009212C7">
              <w:rPr>
                <w:rFonts w:ascii="Times New Roman" w:hAnsi="Times New Roman" w:cs="Times New Roman"/>
                <w:sz w:val="16"/>
                <w:szCs w:val="16"/>
              </w:rPr>
              <w:t>ирина термоленты</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80</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Миллиметр</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140"/>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Н</w:t>
            </w:r>
            <w:r w:rsidRPr="009212C7">
              <w:rPr>
                <w:rFonts w:ascii="Times New Roman" w:hAnsi="Times New Roman" w:cs="Times New Roman"/>
                <w:sz w:val="16"/>
                <w:szCs w:val="16"/>
              </w:rPr>
              <w:t>аличие автоматического отрезного устройства</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Соответствие</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Сетевой интерфейс Ethernet</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b/>
                <w:bCs/>
                <w:sz w:val="16"/>
                <w:szCs w:val="16"/>
              </w:rPr>
              <w:t xml:space="preserve">≥ </w:t>
            </w:r>
            <w:r w:rsidRPr="009212C7">
              <w:rPr>
                <w:rFonts w:ascii="Times New Roman" w:hAnsi="Times New Roman" w:cs="Times New Roman"/>
                <w:sz w:val="16"/>
                <w:szCs w:val="16"/>
              </w:rPr>
              <w:t xml:space="preserve">1000 </w:t>
            </w:r>
          </w:p>
        </w:tc>
        <w:tc>
          <w:tcPr>
            <w:tcW w:w="1134" w:type="dxa"/>
            <w:tcMar>
              <w:top w:w="75" w:type="dxa"/>
              <w:left w:w="75" w:type="dxa"/>
              <w:bottom w:w="75" w:type="dxa"/>
              <w:right w:w="75" w:type="dxa"/>
            </w:tcMar>
            <w:vAlign w:val="center"/>
          </w:tcPr>
          <w:p w:rsidR="00B91568" w:rsidRPr="009212C7" w:rsidRDefault="00B91568" w:rsidP="00966A38">
            <w:pPr>
              <w:spacing w:after="0" w:line="240" w:lineRule="auto"/>
              <w:ind w:left="-59" w:right="-86"/>
              <w:jc w:val="center"/>
              <w:rPr>
                <w:rFonts w:ascii="Times New Roman" w:hAnsi="Times New Roman" w:cs="Times New Roman"/>
                <w:color w:val="000000"/>
                <w:sz w:val="16"/>
                <w:szCs w:val="16"/>
                <w:lang w:eastAsia="ru-RU"/>
              </w:rPr>
            </w:pPr>
            <w:r>
              <w:rPr>
                <w:rFonts w:ascii="Times New Roman" w:hAnsi="Times New Roman" w:cs="Times New Roman"/>
                <w:sz w:val="16"/>
                <w:szCs w:val="16"/>
              </w:rPr>
              <w:t>Мегабит в секунду</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sidRPr="009212C7">
              <w:rPr>
                <w:rFonts w:ascii="Times New Roman" w:hAnsi="Times New Roman" w:cs="Times New Roman"/>
                <w:sz w:val="16"/>
                <w:szCs w:val="16"/>
              </w:rPr>
              <w:t>Электропитание: переменное напряжение ~220 В, частота 50 Гц</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Соответствие</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shd w:val="clear" w:color="auto" w:fill="auto"/>
            <w:tcMar>
              <w:top w:w="75" w:type="dxa"/>
              <w:left w:w="75" w:type="dxa"/>
              <w:bottom w:w="75" w:type="dxa"/>
              <w:right w:w="75" w:type="dxa"/>
            </w:tcMar>
          </w:tcPr>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Программное обеспечение «Программа-система управления очередью SMART-Q»*:</w:t>
            </w:r>
          </w:p>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 Модуль сервера ПО Системы (включает серверную часть, модуль терминала, модуль отображения на ТВ-панели, модуль базовой статистики): 1 штука</w:t>
            </w:r>
          </w:p>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 Модуль пульта оператора ПО Системы (3 лицензии для одновременной работы трёх операторов): 3 штуки</w:t>
            </w:r>
          </w:p>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 Модуль записи обслуживания ПО Системы (базовый функционал): 1 штука</w:t>
            </w:r>
          </w:p>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*Эквивалент недопустим, требуется полная совместимость с установленным у Покупателя ПО централизованного управления электронными очередями «SMART-Q» (Реестровая запись №5262 от 26.02.2019)</w:t>
            </w:r>
          </w:p>
        </w:tc>
        <w:tc>
          <w:tcPr>
            <w:tcW w:w="1418" w:type="dxa"/>
            <w:tcMar>
              <w:top w:w="75" w:type="dxa"/>
              <w:left w:w="75" w:type="dxa"/>
              <w:bottom w:w="75" w:type="dxa"/>
              <w:right w:w="75" w:type="dxa"/>
            </w:tcMar>
          </w:tcPr>
          <w:p w:rsidR="00B91568" w:rsidRPr="009212C7" w:rsidRDefault="00B91568" w:rsidP="00966A38">
            <w:pPr>
              <w:keepNext/>
              <w:rPr>
                <w:rFonts w:ascii="Times New Roman" w:hAnsi="Times New Roman" w:cs="Times New Roman"/>
                <w:sz w:val="16"/>
                <w:szCs w:val="16"/>
              </w:rPr>
            </w:pPr>
            <w:r>
              <w:rPr>
                <w:rFonts w:ascii="Times New Roman" w:hAnsi="Times New Roman" w:cs="Times New Roman"/>
                <w:sz w:val="16"/>
                <w:szCs w:val="16"/>
              </w:rPr>
              <w:t>Соответствие</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614DA9"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Светодиодное информационное табло:</w:t>
            </w:r>
          </w:p>
          <w:p w:rsidR="00B91568" w:rsidRPr="009212C7" w:rsidRDefault="00B91568" w:rsidP="00966A38">
            <w:pPr>
              <w:spacing w:after="0" w:line="240" w:lineRule="auto"/>
              <w:rPr>
                <w:rFonts w:ascii="Times New Roman" w:hAnsi="Times New Roman" w:cs="Times New Roman"/>
                <w:sz w:val="16"/>
                <w:szCs w:val="16"/>
              </w:rPr>
            </w:pPr>
            <w:r w:rsidRPr="00614DA9">
              <w:rPr>
                <w:rFonts w:ascii="Times New Roman" w:hAnsi="Times New Roman" w:cs="Times New Roman"/>
                <w:sz w:val="16"/>
                <w:szCs w:val="16"/>
              </w:rPr>
              <w:t>-</w:t>
            </w:r>
            <w:r w:rsidRPr="009212C7">
              <w:rPr>
                <w:rFonts w:ascii="Times New Roman" w:hAnsi="Times New Roman" w:cs="Times New Roman"/>
                <w:sz w:val="16"/>
                <w:szCs w:val="16"/>
              </w:rPr>
              <w:t>Тип индикации</w:t>
            </w:r>
            <w:r w:rsidRPr="00614DA9">
              <w:rPr>
                <w:rFonts w:ascii="Times New Roman" w:hAnsi="Times New Roman" w:cs="Times New Roman"/>
                <w:sz w:val="16"/>
                <w:szCs w:val="16"/>
              </w:rPr>
              <w:t xml:space="preserve">: </w:t>
            </w:r>
            <w:r w:rsidRPr="009212C7">
              <w:rPr>
                <w:rFonts w:ascii="Times New Roman" w:hAnsi="Times New Roman" w:cs="Times New Roman"/>
                <w:sz w:val="16"/>
                <w:szCs w:val="16"/>
              </w:rPr>
              <w:t>Светодиодная матрица</w:t>
            </w:r>
          </w:p>
          <w:p w:rsidR="00B91568" w:rsidRPr="009212C7" w:rsidRDefault="00B91568" w:rsidP="00966A38">
            <w:pPr>
              <w:spacing w:after="0" w:line="240" w:lineRule="auto"/>
              <w:rPr>
                <w:rFonts w:ascii="Times New Roman" w:hAnsi="Times New Roman" w:cs="Times New Roman"/>
                <w:sz w:val="16"/>
                <w:szCs w:val="16"/>
              </w:rPr>
            </w:pPr>
            <w:r w:rsidRPr="009212C7">
              <w:rPr>
                <w:rFonts w:ascii="Times New Roman" w:hAnsi="Times New Roman" w:cs="Times New Roman"/>
                <w:sz w:val="16"/>
                <w:szCs w:val="16"/>
              </w:rPr>
              <w:t>-Цвет свечения: Красный</w:t>
            </w:r>
            <w:r w:rsidRPr="009212C7">
              <w:rPr>
                <w:rFonts w:ascii="Times New Roman" w:hAnsi="Times New Roman" w:cs="Times New Roman"/>
                <w:sz w:val="16"/>
                <w:szCs w:val="16"/>
              </w:rPr>
              <w:tab/>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Разрешение матрицы: </w:t>
            </w:r>
            <w:r>
              <w:rPr>
                <w:rFonts w:ascii="Times New Roman" w:hAnsi="Times New Roman" w:cs="Times New Roman"/>
                <w:sz w:val="16"/>
                <w:szCs w:val="16"/>
              </w:rPr>
              <w:t>32×16 светодиодов</w:t>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Шаг пикселя: не более 10 (</w:t>
            </w:r>
            <w:r w:rsidRPr="00614DA9">
              <w:rPr>
                <w:rFonts w:ascii="Times New Roman" w:hAnsi="Times New Roman" w:cs="Times New Roman"/>
                <w:sz w:val="16"/>
                <w:szCs w:val="16"/>
              </w:rPr>
              <w:t>P</w:t>
            </w:r>
            <w:r w:rsidRPr="009212C7">
              <w:rPr>
                <w:rFonts w:ascii="Times New Roman" w:hAnsi="Times New Roman" w:cs="Times New Roman"/>
                <w:sz w:val="16"/>
                <w:szCs w:val="16"/>
              </w:rPr>
              <w:t>10) мм</w:t>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Яркость: не менее 1500 кд/м²</w:t>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Угол обзора по горизонтали:</w:t>
            </w:r>
            <w:r>
              <w:rPr>
                <w:rFonts w:ascii="Times New Roman" w:hAnsi="Times New Roman" w:cs="Times New Roman"/>
                <w:sz w:val="16"/>
                <w:szCs w:val="16"/>
              </w:rPr>
              <w:t xml:space="preserve"> </w:t>
            </w:r>
            <w:r w:rsidRPr="00614DA9">
              <w:rPr>
                <w:rFonts w:ascii="Times New Roman" w:hAnsi="Times New Roman" w:cs="Times New Roman"/>
                <w:sz w:val="16"/>
                <w:szCs w:val="16"/>
              </w:rPr>
              <w:t xml:space="preserve">≥ </w:t>
            </w:r>
            <w:r>
              <w:rPr>
                <w:rFonts w:ascii="Times New Roman" w:hAnsi="Times New Roman" w:cs="Times New Roman"/>
                <w:sz w:val="16"/>
                <w:szCs w:val="16"/>
              </w:rPr>
              <w:t>120 градус</w:t>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Интерфейс подключения: </w:t>
            </w:r>
            <w:r w:rsidRPr="00614DA9">
              <w:rPr>
                <w:rFonts w:ascii="Times New Roman" w:hAnsi="Times New Roman" w:cs="Times New Roman"/>
                <w:sz w:val="16"/>
                <w:szCs w:val="16"/>
              </w:rPr>
              <w:t>Ethernet</w:t>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Электропитание: 12 В, </w:t>
            </w:r>
            <w:r w:rsidRPr="00614DA9">
              <w:rPr>
                <w:rFonts w:ascii="Times New Roman" w:hAnsi="Times New Roman" w:cs="Times New Roman"/>
                <w:sz w:val="16"/>
                <w:szCs w:val="16"/>
              </w:rPr>
              <w:t>PPoE</w:t>
            </w:r>
            <w:r w:rsidRPr="009212C7">
              <w:rPr>
                <w:rFonts w:ascii="Times New Roman" w:hAnsi="Times New Roman" w:cs="Times New Roman"/>
                <w:sz w:val="16"/>
                <w:szCs w:val="16"/>
              </w:rPr>
              <w:tab/>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Способ монтажа: Настенный</w:t>
            </w:r>
            <w:r w:rsidRPr="009212C7">
              <w:rPr>
                <w:rFonts w:ascii="Times New Roman" w:hAnsi="Times New Roman" w:cs="Times New Roman"/>
                <w:sz w:val="16"/>
                <w:szCs w:val="16"/>
              </w:rPr>
              <w:tab/>
            </w:r>
          </w:p>
          <w:p w:rsidR="00B91568" w:rsidRPr="009212C7" w:rsidRDefault="00B91568" w:rsidP="00966A38">
            <w:pPr>
              <w:spacing w:after="0" w:line="240" w:lineRule="auto"/>
              <w:rPr>
                <w:rFonts w:ascii="Times New Roman" w:hAnsi="Times New Roman" w:cs="Times New Roman"/>
                <w:sz w:val="16"/>
                <w:szCs w:val="16"/>
              </w:rPr>
            </w:pPr>
            <w:r>
              <w:rPr>
                <w:rFonts w:ascii="Times New Roman" w:hAnsi="Times New Roman" w:cs="Times New Roman"/>
                <w:sz w:val="16"/>
                <w:szCs w:val="16"/>
              </w:rPr>
              <w:t>-Монтажный комплект</w:t>
            </w:r>
          </w:p>
        </w:tc>
        <w:tc>
          <w:tcPr>
            <w:tcW w:w="1418" w:type="dxa"/>
            <w:tcMar>
              <w:top w:w="75" w:type="dxa"/>
              <w:left w:w="75" w:type="dxa"/>
              <w:bottom w:w="75" w:type="dxa"/>
              <w:right w:w="75" w:type="dxa"/>
            </w:tcMar>
          </w:tcPr>
          <w:p w:rsidR="00B91568" w:rsidRPr="009212C7" w:rsidRDefault="00B91568" w:rsidP="00966A38">
            <w:pPr>
              <w:spacing w:after="0" w:line="240" w:lineRule="auto"/>
              <w:ind w:left="79"/>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3</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614DA9" w:rsidRDefault="00B91568" w:rsidP="00966A38">
            <w:pPr>
              <w:spacing w:after="0" w:line="240" w:lineRule="auto"/>
              <w:rPr>
                <w:rFonts w:ascii="Times New Roman" w:hAnsi="Times New Roman" w:cs="Times New Roman"/>
                <w:sz w:val="16"/>
                <w:szCs w:val="16"/>
              </w:rPr>
            </w:pPr>
            <w:r w:rsidRPr="009212C7">
              <w:rPr>
                <w:rFonts w:ascii="Times New Roman" w:hAnsi="Times New Roman" w:cs="Times New Roman"/>
                <w:sz w:val="16"/>
                <w:szCs w:val="16"/>
              </w:rPr>
              <w:t>Микрофон</w:t>
            </w:r>
            <w:r w:rsidRPr="00614DA9">
              <w:rPr>
                <w:rFonts w:ascii="Times New Roman" w:hAnsi="Times New Roman" w:cs="Times New Roman"/>
                <w:sz w:val="16"/>
                <w:szCs w:val="16"/>
              </w:rPr>
              <w:t>:</w:t>
            </w:r>
          </w:p>
          <w:p w:rsidR="00B91568" w:rsidRPr="009212C7" w:rsidRDefault="00B91568" w:rsidP="00966A38">
            <w:pPr>
              <w:spacing w:after="0" w:line="240" w:lineRule="auto"/>
              <w:rPr>
                <w:rFonts w:ascii="Times New Roman" w:hAnsi="Times New Roman" w:cs="Times New Roman"/>
                <w:sz w:val="16"/>
                <w:szCs w:val="16"/>
              </w:rPr>
            </w:pPr>
            <w:r w:rsidRPr="00E24625">
              <w:rPr>
                <w:rFonts w:ascii="Times New Roman" w:hAnsi="Times New Roman" w:cs="Times New Roman"/>
                <w:sz w:val="16"/>
                <w:szCs w:val="16"/>
              </w:rPr>
              <w:t>-</w:t>
            </w:r>
            <w:r w:rsidRPr="009212C7">
              <w:rPr>
                <w:rFonts w:ascii="Times New Roman" w:hAnsi="Times New Roman" w:cs="Times New Roman"/>
                <w:sz w:val="16"/>
                <w:szCs w:val="16"/>
              </w:rPr>
              <w:t>Тип микрофона: Конденсаторный</w:t>
            </w:r>
          </w:p>
          <w:p w:rsidR="00B91568" w:rsidRPr="009212C7" w:rsidRDefault="00B91568" w:rsidP="00966A38">
            <w:pPr>
              <w:spacing w:after="0" w:line="240" w:lineRule="auto"/>
              <w:rPr>
                <w:rFonts w:ascii="Times New Roman" w:hAnsi="Times New Roman" w:cs="Times New Roman"/>
                <w:sz w:val="16"/>
                <w:szCs w:val="16"/>
              </w:rPr>
            </w:pPr>
            <w:r w:rsidRPr="00E24625">
              <w:rPr>
                <w:rFonts w:ascii="Times New Roman" w:hAnsi="Times New Roman" w:cs="Times New Roman"/>
                <w:sz w:val="16"/>
                <w:szCs w:val="16"/>
              </w:rPr>
              <w:t>-</w:t>
            </w:r>
            <w:r>
              <w:rPr>
                <w:rFonts w:ascii="Times New Roman" w:hAnsi="Times New Roman" w:cs="Times New Roman"/>
                <w:sz w:val="16"/>
                <w:szCs w:val="16"/>
              </w:rPr>
              <w:t>Тип микрофона по назначению</w:t>
            </w:r>
            <w:r w:rsidRPr="009212C7">
              <w:rPr>
                <w:rFonts w:ascii="Times New Roman" w:hAnsi="Times New Roman" w:cs="Times New Roman"/>
                <w:sz w:val="16"/>
                <w:szCs w:val="16"/>
              </w:rPr>
              <w:t xml:space="preserve">: </w:t>
            </w:r>
            <w:r>
              <w:rPr>
                <w:rFonts w:ascii="Times New Roman" w:hAnsi="Times New Roman" w:cs="Times New Roman"/>
                <w:sz w:val="16"/>
                <w:szCs w:val="16"/>
              </w:rPr>
              <w:t>в</w:t>
            </w:r>
            <w:r w:rsidRPr="009212C7">
              <w:rPr>
                <w:rFonts w:ascii="Times New Roman" w:hAnsi="Times New Roman" w:cs="Times New Roman"/>
                <w:sz w:val="16"/>
                <w:szCs w:val="16"/>
              </w:rPr>
              <w:t>нешний микрофон для видеокамеры, фотокамеры цифровой, мобильного телефона</w:t>
            </w:r>
          </w:p>
          <w:p w:rsidR="00B91568" w:rsidRPr="009212C7" w:rsidRDefault="00B91568" w:rsidP="00966A38">
            <w:pPr>
              <w:spacing w:after="0" w:line="240" w:lineRule="auto"/>
              <w:rPr>
                <w:rFonts w:ascii="Times New Roman" w:hAnsi="Times New Roman" w:cs="Times New Roman"/>
                <w:sz w:val="16"/>
                <w:szCs w:val="16"/>
              </w:rPr>
            </w:pPr>
            <w:r w:rsidRPr="00E24625">
              <w:rPr>
                <w:rFonts w:ascii="Times New Roman" w:hAnsi="Times New Roman" w:cs="Times New Roman"/>
                <w:sz w:val="16"/>
                <w:szCs w:val="16"/>
              </w:rPr>
              <w:t>-</w:t>
            </w:r>
            <w:r w:rsidRPr="009212C7">
              <w:rPr>
                <w:rFonts w:ascii="Times New Roman" w:hAnsi="Times New Roman" w:cs="Times New Roman"/>
                <w:sz w:val="16"/>
                <w:szCs w:val="16"/>
              </w:rPr>
              <w:t xml:space="preserve">Тип разъема: </w:t>
            </w:r>
            <w:r w:rsidRPr="009212C7">
              <w:rPr>
                <w:rFonts w:ascii="Times New Roman" w:hAnsi="Times New Roman" w:cs="Times New Roman"/>
                <w:sz w:val="16"/>
                <w:szCs w:val="16"/>
                <w:lang w:val="en-US"/>
              </w:rPr>
              <w:t>mini</w:t>
            </w:r>
            <w:r w:rsidRPr="009212C7">
              <w:rPr>
                <w:rFonts w:ascii="Times New Roman" w:hAnsi="Times New Roman" w:cs="Times New Roman"/>
                <w:sz w:val="16"/>
                <w:szCs w:val="16"/>
              </w:rPr>
              <w:t>-</w:t>
            </w:r>
            <w:r w:rsidRPr="009212C7">
              <w:rPr>
                <w:rFonts w:ascii="Times New Roman" w:hAnsi="Times New Roman" w:cs="Times New Roman"/>
                <w:sz w:val="16"/>
                <w:szCs w:val="16"/>
                <w:lang w:val="en-US"/>
              </w:rPr>
              <w:t>Jack</w:t>
            </w:r>
          </w:p>
          <w:p w:rsidR="00B91568" w:rsidRPr="009212C7" w:rsidRDefault="00B91568" w:rsidP="00966A38">
            <w:pPr>
              <w:spacing w:after="0" w:line="240" w:lineRule="auto"/>
              <w:rPr>
                <w:rFonts w:ascii="Times New Roman" w:hAnsi="Times New Roman" w:cs="Times New Roman"/>
                <w:sz w:val="16"/>
                <w:szCs w:val="16"/>
              </w:rPr>
            </w:pPr>
            <w:r w:rsidRPr="00E24625">
              <w:rPr>
                <w:rFonts w:ascii="Times New Roman" w:hAnsi="Times New Roman" w:cs="Times New Roman"/>
                <w:sz w:val="16"/>
                <w:szCs w:val="16"/>
              </w:rPr>
              <w:t>-</w:t>
            </w:r>
            <w:r w:rsidRPr="009212C7">
              <w:rPr>
                <w:rFonts w:ascii="Times New Roman" w:hAnsi="Times New Roman" w:cs="Times New Roman"/>
                <w:sz w:val="16"/>
                <w:szCs w:val="16"/>
              </w:rPr>
              <w:t>Пространственная направленность: Суперкардиоидный</w:t>
            </w:r>
          </w:p>
        </w:tc>
        <w:tc>
          <w:tcPr>
            <w:tcW w:w="1418" w:type="dxa"/>
            <w:tcMar>
              <w:top w:w="75" w:type="dxa"/>
              <w:left w:w="75" w:type="dxa"/>
              <w:bottom w:w="75" w:type="dxa"/>
              <w:right w:w="75" w:type="dxa"/>
            </w:tcMar>
          </w:tcPr>
          <w:p w:rsidR="00B91568" w:rsidRPr="009212C7" w:rsidRDefault="00B91568" w:rsidP="00966A38">
            <w:pPr>
              <w:spacing w:after="0" w:line="240" w:lineRule="auto"/>
              <w:ind w:left="79"/>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3</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c>
          <w:tcPr>
            <w:tcW w:w="431" w:type="dxa"/>
            <w:vMerge/>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1842" w:type="dxa"/>
            <w:vMerge/>
          </w:tcPr>
          <w:p w:rsidR="00B91568" w:rsidRPr="009212C7" w:rsidRDefault="00B91568" w:rsidP="00966A38">
            <w:pPr>
              <w:spacing w:after="0" w:line="240" w:lineRule="auto"/>
              <w:ind w:left="66" w:right="131"/>
              <w:rPr>
                <w:rFonts w:ascii="Times New Roman" w:hAnsi="Times New Roman" w:cs="Times New Roman"/>
                <w:color w:val="000000"/>
                <w:sz w:val="16"/>
                <w:szCs w:val="16"/>
                <w:lang w:eastAsia="ru-RU"/>
              </w:rPr>
            </w:pPr>
          </w:p>
        </w:tc>
        <w:tc>
          <w:tcPr>
            <w:tcW w:w="993"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992" w:type="dxa"/>
            <w:vMerge/>
            <w:vAlign w:val="center"/>
          </w:tcPr>
          <w:p w:rsidR="00B91568" w:rsidRPr="009212C7" w:rsidRDefault="00B91568" w:rsidP="00966A38">
            <w:pPr>
              <w:spacing w:after="0" w:line="240" w:lineRule="auto"/>
              <w:rPr>
                <w:rFonts w:ascii="Times New Roman" w:hAnsi="Times New Roman" w:cs="Times New Roman"/>
                <w:color w:val="000000"/>
                <w:sz w:val="16"/>
                <w:szCs w:val="16"/>
                <w:lang w:eastAsia="ru-RU"/>
              </w:rPr>
            </w:pPr>
          </w:p>
        </w:tc>
        <w:tc>
          <w:tcPr>
            <w:tcW w:w="3250" w:type="dxa"/>
            <w:tcMar>
              <w:top w:w="75" w:type="dxa"/>
              <w:left w:w="75" w:type="dxa"/>
              <w:bottom w:w="75" w:type="dxa"/>
              <w:right w:w="75" w:type="dxa"/>
            </w:tcMar>
          </w:tcPr>
          <w:p w:rsidR="00B91568" w:rsidRPr="00614DA9" w:rsidRDefault="00B91568" w:rsidP="00966A38">
            <w:pPr>
              <w:pStyle w:val="a7"/>
              <w:widowControl w:val="0"/>
              <w:spacing w:after="0"/>
              <w:ind w:left="0"/>
              <w:rPr>
                <w:rFonts w:ascii="Times New Roman" w:hAnsi="Times New Roman" w:cs="Times New Roman"/>
                <w:sz w:val="16"/>
                <w:szCs w:val="16"/>
              </w:rPr>
            </w:pPr>
            <w:r w:rsidRPr="009212C7">
              <w:rPr>
                <w:rFonts w:ascii="Times New Roman" w:hAnsi="Times New Roman" w:cs="Times New Roman"/>
                <w:sz w:val="16"/>
                <w:szCs w:val="16"/>
              </w:rPr>
              <w:t>Коммутатор</w:t>
            </w:r>
            <w:r w:rsidRPr="00614DA9">
              <w:rPr>
                <w:rFonts w:ascii="Times New Roman" w:hAnsi="Times New Roman" w:cs="Times New Roman"/>
                <w:sz w:val="16"/>
                <w:szCs w:val="16"/>
              </w:rPr>
              <w:t>:</w:t>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Блок питания: Внешний</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Количество блоков питания: 1 Штука</w:t>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Тип блоков питания: Фиксированны</w:t>
            </w:r>
            <w:r>
              <w:rPr>
                <w:rFonts w:ascii="Times New Roman" w:hAnsi="Times New Roman" w:cs="Times New Roman"/>
                <w:sz w:val="16"/>
                <w:szCs w:val="16"/>
              </w:rPr>
              <w:t>й</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Поддержка протоколов и средств управления: </w:t>
            </w:r>
            <w:r w:rsidRPr="009212C7">
              <w:rPr>
                <w:rFonts w:ascii="Times New Roman" w:hAnsi="Times New Roman" w:cs="Times New Roman"/>
                <w:sz w:val="16"/>
                <w:szCs w:val="16"/>
                <w:lang w:val="en-US"/>
              </w:rPr>
              <w:t>PPPoE</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Количество портов </w:t>
            </w:r>
            <w:r w:rsidRPr="009212C7">
              <w:rPr>
                <w:rFonts w:ascii="Times New Roman" w:hAnsi="Times New Roman" w:cs="Times New Roman"/>
                <w:sz w:val="16"/>
                <w:szCs w:val="16"/>
                <w:lang w:val="en-US"/>
              </w:rPr>
              <w:t>PoE</w:t>
            </w:r>
            <w:r w:rsidRPr="009212C7">
              <w:rPr>
                <w:rFonts w:ascii="Times New Roman" w:hAnsi="Times New Roman" w:cs="Times New Roman"/>
                <w:sz w:val="16"/>
                <w:szCs w:val="16"/>
              </w:rPr>
              <w:t xml:space="preserve">: ≥ 4 </w:t>
            </w:r>
            <w:r>
              <w:rPr>
                <w:rFonts w:ascii="Times New Roman" w:hAnsi="Times New Roman" w:cs="Times New Roman"/>
                <w:sz w:val="16"/>
                <w:szCs w:val="16"/>
              </w:rPr>
              <w:t>Ш</w:t>
            </w:r>
            <w:r w:rsidRPr="009212C7">
              <w:rPr>
                <w:rFonts w:ascii="Times New Roman" w:hAnsi="Times New Roman" w:cs="Times New Roman"/>
                <w:sz w:val="16"/>
                <w:szCs w:val="16"/>
              </w:rPr>
              <w:t>тук</w:t>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Суммарная мощность </w:t>
            </w:r>
            <w:r w:rsidRPr="009212C7">
              <w:rPr>
                <w:rFonts w:ascii="Times New Roman" w:hAnsi="Times New Roman" w:cs="Times New Roman"/>
                <w:sz w:val="16"/>
                <w:szCs w:val="16"/>
                <w:lang w:val="en-US"/>
              </w:rPr>
              <w:t>PoE</w:t>
            </w:r>
            <w:r w:rsidRPr="009212C7">
              <w:rPr>
                <w:rFonts w:ascii="Times New Roman" w:hAnsi="Times New Roman" w:cs="Times New Roman"/>
                <w:sz w:val="16"/>
                <w:szCs w:val="16"/>
              </w:rPr>
              <w:t xml:space="preserve">: </w:t>
            </w:r>
            <w:r>
              <w:rPr>
                <w:rFonts w:ascii="Times New Roman" w:hAnsi="Times New Roman" w:cs="Times New Roman"/>
                <w:sz w:val="16"/>
                <w:szCs w:val="16"/>
              </w:rPr>
              <w:t xml:space="preserve">≤ 750 </w:t>
            </w:r>
            <w:r w:rsidRPr="009212C7">
              <w:rPr>
                <w:rFonts w:ascii="Times New Roman" w:hAnsi="Times New Roman" w:cs="Times New Roman"/>
                <w:sz w:val="16"/>
                <w:szCs w:val="16"/>
              </w:rPr>
              <w:t>Ватт</w:t>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Тип коммутатора: Неуправляемый</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Тип передачи данных: </w:t>
            </w:r>
            <w:r w:rsidRPr="009212C7">
              <w:rPr>
                <w:rFonts w:ascii="Times New Roman" w:hAnsi="Times New Roman" w:cs="Times New Roman"/>
                <w:sz w:val="16"/>
                <w:szCs w:val="16"/>
                <w:lang w:val="en-US"/>
              </w:rPr>
              <w:t>Ethernet</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Тип электропитания: </w:t>
            </w:r>
            <w:r w:rsidRPr="009212C7">
              <w:rPr>
                <w:rFonts w:ascii="Times New Roman" w:hAnsi="Times New Roman" w:cs="Times New Roman"/>
                <w:sz w:val="16"/>
                <w:szCs w:val="16"/>
                <w:lang w:val="en-US"/>
              </w:rPr>
              <w:t>AC</w:t>
            </w:r>
            <w:r w:rsidRPr="009212C7">
              <w:rPr>
                <w:rFonts w:ascii="Times New Roman" w:hAnsi="Times New Roman" w:cs="Times New Roman"/>
                <w:sz w:val="16"/>
                <w:szCs w:val="16"/>
              </w:rPr>
              <w:t>/</w:t>
            </w:r>
            <w:r w:rsidRPr="009212C7">
              <w:rPr>
                <w:rFonts w:ascii="Times New Roman" w:hAnsi="Times New Roman" w:cs="Times New Roman"/>
                <w:sz w:val="16"/>
                <w:szCs w:val="16"/>
                <w:lang w:val="en-US"/>
              </w:rPr>
              <w:t>DC</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Интерфейс </w:t>
            </w:r>
            <w:r w:rsidRPr="009212C7">
              <w:rPr>
                <w:rFonts w:ascii="Times New Roman" w:hAnsi="Times New Roman" w:cs="Times New Roman"/>
                <w:sz w:val="16"/>
                <w:szCs w:val="16"/>
                <w:lang w:val="en-US"/>
              </w:rPr>
              <w:t>LAN</w:t>
            </w:r>
            <w:r w:rsidRPr="009212C7">
              <w:rPr>
                <w:rFonts w:ascii="Times New Roman" w:hAnsi="Times New Roman" w:cs="Times New Roman"/>
                <w:sz w:val="16"/>
                <w:szCs w:val="16"/>
              </w:rPr>
              <w:t xml:space="preserve">-порта: </w:t>
            </w:r>
            <w:r w:rsidRPr="009212C7">
              <w:rPr>
                <w:rFonts w:ascii="Times New Roman" w:hAnsi="Times New Roman" w:cs="Times New Roman"/>
                <w:sz w:val="16"/>
                <w:szCs w:val="16"/>
                <w:lang w:val="en-US"/>
              </w:rPr>
              <w:t>RJ</w:t>
            </w:r>
            <w:r w:rsidRPr="009212C7">
              <w:rPr>
                <w:rFonts w:ascii="Times New Roman" w:hAnsi="Times New Roman" w:cs="Times New Roman"/>
                <w:sz w:val="16"/>
                <w:szCs w:val="16"/>
              </w:rPr>
              <w:t>45</w:t>
            </w:r>
            <w:r w:rsidRPr="009212C7">
              <w:rPr>
                <w:rFonts w:ascii="Times New Roman" w:hAnsi="Times New Roman" w:cs="Times New Roman"/>
                <w:sz w:val="16"/>
                <w:szCs w:val="16"/>
              </w:rPr>
              <w:tab/>
            </w:r>
          </w:p>
          <w:p w:rsidR="00B91568" w:rsidRPr="009212C7" w:rsidRDefault="00B91568" w:rsidP="00966A38">
            <w:pPr>
              <w:widowControl w:val="0"/>
              <w:spacing w:after="0"/>
              <w:rPr>
                <w:rFonts w:ascii="Times New Roman" w:hAnsi="Times New Roman" w:cs="Times New Roman"/>
                <w:sz w:val="16"/>
                <w:szCs w:val="16"/>
              </w:rPr>
            </w:pPr>
            <w:r>
              <w:rPr>
                <w:rFonts w:ascii="Times New Roman" w:hAnsi="Times New Roman" w:cs="Times New Roman"/>
                <w:sz w:val="16"/>
                <w:szCs w:val="16"/>
              </w:rPr>
              <w:t>-</w:t>
            </w:r>
            <w:r w:rsidRPr="009212C7">
              <w:rPr>
                <w:rFonts w:ascii="Times New Roman" w:hAnsi="Times New Roman" w:cs="Times New Roman"/>
                <w:sz w:val="16"/>
                <w:szCs w:val="16"/>
              </w:rPr>
              <w:t xml:space="preserve">Количество портов </w:t>
            </w:r>
            <w:r w:rsidRPr="009212C7">
              <w:rPr>
                <w:rFonts w:ascii="Times New Roman" w:hAnsi="Times New Roman" w:cs="Times New Roman"/>
                <w:sz w:val="16"/>
                <w:szCs w:val="16"/>
                <w:lang w:val="en-US"/>
              </w:rPr>
              <w:t>Ethernet</w:t>
            </w:r>
            <w:r w:rsidRPr="009212C7">
              <w:rPr>
                <w:rFonts w:ascii="Times New Roman" w:hAnsi="Times New Roman" w:cs="Times New Roman"/>
                <w:sz w:val="16"/>
                <w:szCs w:val="16"/>
              </w:rPr>
              <w:t xml:space="preserve"> 10/100 </w:t>
            </w:r>
            <w:r w:rsidRPr="009212C7">
              <w:rPr>
                <w:rFonts w:ascii="Times New Roman" w:hAnsi="Times New Roman" w:cs="Times New Roman"/>
                <w:sz w:val="16"/>
                <w:szCs w:val="16"/>
                <w:lang w:val="en-US"/>
              </w:rPr>
              <w:t>Base</w:t>
            </w:r>
            <w:r w:rsidRPr="009212C7">
              <w:rPr>
                <w:rFonts w:ascii="Times New Roman" w:hAnsi="Times New Roman" w:cs="Times New Roman"/>
                <w:sz w:val="16"/>
                <w:szCs w:val="16"/>
              </w:rPr>
              <w:t>-</w:t>
            </w:r>
            <w:r w:rsidRPr="009212C7">
              <w:rPr>
                <w:rFonts w:ascii="Times New Roman" w:hAnsi="Times New Roman" w:cs="Times New Roman"/>
                <w:sz w:val="16"/>
                <w:szCs w:val="16"/>
                <w:lang w:val="en-US"/>
              </w:rPr>
              <w:t>T</w:t>
            </w:r>
            <w:r w:rsidRPr="009212C7">
              <w:rPr>
                <w:rFonts w:ascii="Times New Roman" w:hAnsi="Times New Roman" w:cs="Times New Roman"/>
                <w:sz w:val="16"/>
                <w:szCs w:val="16"/>
              </w:rPr>
              <w:t xml:space="preserve"> (8</w:t>
            </w:r>
            <w:r w:rsidRPr="009212C7">
              <w:rPr>
                <w:rFonts w:ascii="Times New Roman" w:hAnsi="Times New Roman" w:cs="Times New Roman"/>
                <w:sz w:val="16"/>
                <w:szCs w:val="16"/>
                <w:lang w:val="en-US"/>
              </w:rPr>
              <w:t>P</w:t>
            </w:r>
            <w:r w:rsidRPr="009212C7">
              <w:rPr>
                <w:rFonts w:ascii="Times New Roman" w:hAnsi="Times New Roman" w:cs="Times New Roman"/>
                <w:sz w:val="16"/>
                <w:szCs w:val="16"/>
              </w:rPr>
              <w:t>8</w:t>
            </w:r>
            <w:r w:rsidRPr="009212C7">
              <w:rPr>
                <w:rFonts w:ascii="Times New Roman" w:hAnsi="Times New Roman" w:cs="Times New Roman"/>
                <w:sz w:val="16"/>
                <w:szCs w:val="16"/>
                <w:lang w:val="en-US"/>
              </w:rPr>
              <w:t>C</w:t>
            </w:r>
            <w:r w:rsidRPr="009212C7">
              <w:rPr>
                <w:rFonts w:ascii="Times New Roman" w:hAnsi="Times New Roman" w:cs="Times New Roman"/>
                <w:sz w:val="16"/>
                <w:szCs w:val="16"/>
              </w:rPr>
              <w:t>): ≥ 8 Штук</w:t>
            </w:r>
          </w:p>
          <w:p w:rsidR="00B91568" w:rsidRPr="009212C7" w:rsidRDefault="00B91568" w:rsidP="00966A38">
            <w:pPr>
              <w:pStyle w:val="a7"/>
              <w:widowControl w:val="0"/>
              <w:spacing w:after="0"/>
              <w:ind w:left="0"/>
              <w:rPr>
                <w:rFonts w:ascii="Times New Roman" w:hAnsi="Times New Roman" w:cs="Times New Roman"/>
                <w:sz w:val="16"/>
                <w:szCs w:val="16"/>
                <w:lang w:val="en-US"/>
              </w:rPr>
            </w:pPr>
            <w:r>
              <w:rPr>
                <w:rFonts w:ascii="Times New Roman" w:hAnsi="Times New Roman" w:cs="Times New Roman"/>
                <w:sz w:val="16"/>
                <w:szCs w:val="16"/>
              </w:rPr>
              <w:t>-</w:t>
            </w:r>
            <w:r w:rsidRPr="009212C7">
              <w:rPr>
                <w:rFonts w:ascii="Times New Roman" w:hAnsi="Times New Roman" w:cs="Times New Roman"/>
                <w:sz w:val="16"/>
                <w:szCs w:val="16"/>
                <w:lang w:val="en-US"/>
              </w:rPr>
              <w:t>Материал корпуса</w:t>
            </w:r>
            <w:r>
              <w:rPr>
                <w:rFonts w:ascii="Times New Roman" w:hAnsi="Times New Roman" w:cs="Times New Roman"/>
                <w:sz w:val="16"/>
                <w:szCs w:val="16"/>
                <w:lang w:val="en-US"/>
              </w:rPr>
              <w:t xml:space="preserve">: </w:t>
            </w:r>
            <w:r w:rsidRPr="009212C7">
              <w:rPr>
                <w:rFonts w:ascii="Times New Roman" w:hAnsi="Times New Roman" w:cs="Times New Roman"/>
                <w:sz w:val="16"/>
                <w:szCs w:val="16"/>
                <w:lang w:val="en-US"/>
              </w:rPr>
              <w:t>Металл</w:t>
            </w:r>
            <w:r w:rsidRPr="009212C7">
              <w:rPr>
                <w:rFonts w:ascii="Times New Roman" w:hAnsi="Times New Roman" w:cs="Times New Roman"/>
                <w:sz w:val="16"/>
                <w:szCs w:val="16"/>
                <w:lang w:val="en-US"/>
              </w:rPr>
              <w:tab/>
            </w:r>
          </w:p>
        </w:tc>
        <w:tc>
          <w:tcPr>
            <w:tcW w:w="1418" w:type="dxa"/>
            <w:tcMar>
              <w:top w:w="75" w:type="dxa"/>
              <w:left w:w="75" w:type="dxa"/>
              <w:bottom w:w="75" w:type="dxa"/>
              <w:right w:w="75" w:type="dxa"/>
            </w:tcMar>
          </w:tcPr>
          <w:p w:rsidR="00B91568" w:rsidRPr="009212C7" w:rsidRDefault="00B91568" w:rsidP="00966A38">
            <w:pPr>
              <w:spacing w:after="0" w:line="240" w:lineRule="auto"/>
              <w:ind w:left="79"/>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1</w:t>
            </w:r>
          </w:p>
        </w:tc>
        <w:tc>
          <w:tcPr>
            <w:tcW w:w="1134" w:type="dxa"/>
            <w:tcMar>
              <w:top w:w="75" w:type="dxa"/>
              <w:left w:w="75" w:type="dxa"/>
              <w:bottom w:w="75" w:type="dxa"/>
              <w:right w:w="75" w:type="dxa"/>
            </w:tcMar>
          </w:tcPr>
          <w:p w:rsidR="00B91568" w:rsidRPr="009212C7" w:rsidRDefault="00B91568" w:rsidP="00966A38">
            <w:pPr>
              <w:spacing w:after="0" w:line="240" w:lineRule="auto"/>
              <w:ind w:left="-59" w:right="-86"/>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Штука</w:t>
            </w:r>
          </w:p>
        </w:tc>
        <w:tc>
          <w:tcPr>
            <w:tcW w:w="1711" w:type="dxa"/>
            <w:tcMar>
              <w:top w:w="75" w:type="dxa"/>
              <w:left w:w="75" w:type="dxa"/>
              <w:bottom w:w="75" w:type="dxa"/>
              <w:right w:w="75" w:type="dxa"/>
            </w:tcMar>
          </w:tcPr>
          <w:p w:rsidR="00B91568" w:rsidRPr="009212C7" w:rsidRDefault="00B91568" w:rsidP="00966A38">
            <w:pPr>
              <w:spacing w:after="0" w:line="240" w:lineRule="auto"/>
              <w:ind w:right="57"/>
              <w:jc w:val="center"/>
              <w:outlineLvl w:val="0"/>
              <w:rPr>
                <w:rFonts w:ascii="Times New Roman" w:hAnsi="Times New Roman" w:cs="Times New Roman"/>
                <w:color w:val="000000"/>
                <w:sz w:val="16"/>
                <w:szCs w:val="16"/>
                <w:lang w:eastAsia="ru-RU"/>
              </w:rPr>
            </w:pPr>
            <w:r w:rsidRPr="009212C7">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92"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850" w:type="dxa"/>
            <w:vMerge/>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276"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c>
          <w:tcPr>
            <w:tcW w:w="1134" w:type="dxa"/>
            <w:vMerge/>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r w:rsidR="00B91568" w:rsidRPr="009212C7" w:rsidTr="00966A38">
        <w:trPr>
          <w:trHeight w:val="355"/>
        </w:trPr>
        <w:tc>
          <w:tcPr>
            <w:tcW w:w="14889" w:type="dxa"/>
            <w:gridSpan w:val="11"/>
            <w:shd w:val="clear" w:color="auto" w:fill="auto"/>
            <w:vAlign w:val="center"/>
          </w:tcPr>
          <w:p w:rsidR="00B91568" w:rsidRPr="009212C7" w:rsidRDefault="00B91568" w:rsidP="00966A38">
            <w:pPr>
              <w:spacing w:after="0" w:line="240" w:lineRule="auto"/>
              <w:ind w:right="133"/>
              <w:jc w:val="right"/>
              <w:rPr>
                <w:rFonts w:ascii="Times New Roman" w:hAnsi="Times New Roman" w:cs="Times New Roman"/>
                <w:color w:val="000000"/>
                <w:sz w:val="16"/>
                <w:szCs w:val="16"/>
                <w:lang w:val="en-US" w:eastAsia="ru-RU"/>
              </w:rPr>
            </w:pPr>
            <w:r w:rsidRPr="009212C7">
              <w:rPr>
                <w:rFonts w:ascii="Times New Roman" w:hAnsi="Times New Roman" w:cs="Times New Roman"/>
                <w:color w:val="000000"/>
                <w:sz w:val="16"/>
                <w:szCs w:val="16"/>
                <w:lang w:eastAsia="ru-RU"/>
              </w:rPr>
              <w:t>ИТОГО</w:t>
            </w:r>
            <w:r w:rsidRPr="009212C7">
              <w:rPr>
                <w:rFonts w:ascii="Times New Roman" w:hAnsi="Times New Roman" w:cs="Times New Roman"/>
                <w:color w:val="000000"/>
                <w:sz w:val="16"/>
                <w:szCs w:val="16"/>
                <w:lang w:val="en-US" w:eastAsia="ru-RU"/>
              </w:rPr>
              <w:t>:</w:t>
            </w:r>
          </w:p>
        </w:tc>
        <w:tc>
          <w:tcPr>
            <w:tcW w:w="1134" w:type="dxa"/>
            <w:shd w:val="clear" w:color="auto" w:fill="FFFF00"/>
          </w:tcPr>
          <w:p w:rsidR="00B91568" w:rsidRPr="009212C7" w:rsidRDefault="00B91568" w:rsidP="00966A38">
            <w:pPr>
              <w:spacing w:after="0" w:line="240" w:lineRule="auto"/>
              <w:jc w:val="center"/>
              <w:rPr>
                <w:rFonts w:ascii="Times New Roman" w:hAnsi="Times New Roman" w:cs="Times New Roman"/>
                <w:color w:val="000000"/>
                <w:sz w:val="16"/>
                <w:szCs w:val="16"/>
                <w:lang w:eastAsia="ru-RU"/>
              </w:rPr>
            </w:pPr>
          </w:p>
        </w:tc>
      </w:tr>
    </w:tbl>
    <w:p w:rsidR="00B91568" w:rsidRPr="000437D6" w:rsidRDefault="00B91568" w:rsidP="00B91568">
      <w:pPr>
        <w:pStyle w:val="a7"/>
        <w:widowControl w:val="0"/>
        <w:spacing w:after="0"/>
        <w:ind w:left="0"/>
        <w:jc w:val="center"/>
        <w:rPr>
          <w:rFonts w:ascii="Times New Roman" w:eastAsia="Courier New" w:hAnsi="Times New Roman" w:cs="Times New Roman"/>
          <w:b/>
        </w:rPr>
      </w:pPr>
    </w:p>
    <w:p w:rsidR="00B91568" w:rsidRDefault="00B91568" w:rsidP="00B91568">
      <w:pPr>
        <w:pStyle w:val="3"/>
        <w:rPr>
          <w:rFonts w:ascii="Times New Roman" w:hAnsi="Times New Roman" w:cs="Times New Roman"/>
          <w:b/>
          <w:sz w:val="22"/>
        </w:rPr>
      </w:pPr>
      <w:r w:rsidRPr="00A7702C">
        <w:rPr>
          <w:rFonts w:ascii="Times New Roman" w:hAnsi="Times New Roman" w:cs="Times New Roman"/>
          <w:b/>
          <w:sz w:val="22"/>
        </w:rPr>
        <w:t>Монтажные и пусконаладочные работы</w:t>
      </w:r>
    </w:p>
    <w:p w:rsidR="00330390" w:rsidRPr="00330390" w:rsidRDefault="00330390" w:rsidP="00330390">
      <w:pPr>
        <w:rPr>
          <w:rFonts w:ascii="Times New Roman" w:hAnsi="Times New Roman" w:cs="Times New Roman"/>
        </w:rPr>
      </w:pPr>
      <w:r w:rsidRPr="00330390">
        <w:rPr>
          <w:rFonts w:ascii="Times New Roman" w:hAnsi="Times New Roman" w:cs="Times New Roman"/>
        </w:rPr>
        <w:t>Место монтажных работ: СПБ, п. Песочный, ул. Ленинградская, дом 68, литера А (</w:t>
      </w:r>
      <w:r>
        <w:rPr>
          <w:rFonts w:ascii="Times New Roman" w:hAnsi="Times New Roman" w:cs="Times New Roman"/>
        </w:rPr>
        <w:t>отделение лучевой диагностики</w:t>
      </w:r>
      <w:r w:rsidRPr="00330390">
        <w:rPr>
          <w:rFonts w:ascii="Times New Roman" w:hAnsi="Times New Roman" w:cs="Times New Roman"/>
        </w:rPr>
        <w:t>)</w:t>
      </w:r>
      <w:r>
        <w:rPr>
          <w:rFonts w:ascii="Times New Roman" w:hAnsi="Times New Roman" w:cs="Times New Roman"/>
        </w:rPr>
        <w:t>.</w:t>
      </w:r>
    </w:p>
    <w:p w:rsidR="00B91568" w:rsidRPr="00A7702C" w:rsidRDefault="00B91568" w:rsidP="00B91568">
      <w:pPr>
        <w:spacing w:after="0" w:line="240" w:lineRule="auto"/>
        <w:rPr>
          <w:rFonts w:ascii="Times New Roman" w:hAnsi="Times New Roman" w:cs="Times New Roman"/>
        </w:rPr>
      </w:pPr>
      <w:r w:rsidRPr="00A7702C">
        <w:rPr>
          <w:rFonts w:ascii="Times New Roman" w:hAnsi="Times New Roman" w:cs="Times New Roman"/>
        </w:rPr>
        <w:t>Состав монтажных работ:</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монтаж </w:t>
      </w:r>
      <w:r>
        <w:rPr>
          <w:rFonts w:ascii="Times New Roman" w:hAnsi="Times New Roman" w:cs="Times New Roman"/>
        </w:rPr>
        <w:t xml:space="preserve">программно-аппаратного комплекса для управления электронной очередью (ПАК - </w:t>
      </w:r>
      <w:r w:rsidRPr="00A7702C">
        <w:rPr>
          <w:rFonts w:ascii="Times New Roman" w:hAnsi="Times New Roman" w:cs="Times New Roman"/>
        </w:rPr>
        <w:t>1 шт</w:t>
      </w:r>
      <w:r>
        <w:rPr>
          <w:rFonts w:ascii="Times New Roman" w:hAnsi="Times New Roman" w:cs="Times New Roman"/>
        </w:rPr>
        <w:t>ука</w:t>
      </w:r>
      <w:r w:rsidRPr="00A7702C">
        <w:rPr>
          <w:rFonts w:ascii="Times New Roman" w:hAnsi="Times New Roman" w:cs="Times New Roman"/>
        </w:rPr>
        <w:t xml:space="preserve">) на месте установки, согласованном с </w:t>
      </w:r>
      <w:r>
        <w:rPr>
          <w:rFonts w:ascii="Times New Roman" w:hAnsi="Times New Roman" w:cs="Times New Roman"/>
        </w:rPr>
        <w:t>Покупателем</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монтаж Светодиодных информационных табло (3 шт.) на стенах Объекта в местах, согласованных с </w:t>
      </w:r>
      <w:r>
        <w:rPr>
          <w:rFonts w:ascii="Times New Roman" w:hAnsi="Times New Roman" w:cs="Times New Roman"/>
        </w:rPr>
        <w:t>Покупателем</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размещение Коммутатора в серверном (коммуникационном) помещении </w:t>
      </w:r>
      <w:r>
        <w:rPr>
          <w:rFonts w:ascii="Times New Roman" w:hAnsi="Times New Roman" w:cs="Times New Roman"/>
        </w:rPr>
        <w:t>Покупателя</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установка микрофонов (3 шт.) на Рабочих местах операторов;</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прокладка соединительных кабелей (Ethernet, аудиокабель 3,5 мм) в пределах одного помещения либо одного этажа Объекта.</w:t>
      </w:r>
    </w:p>
    <w:p w:rsidR="00B91568" w:rsidRPr="00A7702C" w:rsidRDefault="00B91568" w:rsidP="00B91568">
      <w:pPr>
        <w:spacing w:after="0" w:line="240" w:lineRule="auto"/>
        <w:rPr>
          <w:rFonts w:ascii="Times New Roman" w:hAnsi="Times New Roman" w:cs="Times New Roman"/>
        </w:rPr>
      </w:pPr>
      <w:r w:rsidRPr="00A7702C">
        <w:rPr>
          <w:rFonts w:ascii="Times New Roman" w:hAnsi="Times New Roman" w:cs="Times New Roman"/>
        </w:rPr>
        <w:t>Состав пусконаладочных работ:</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развёртывание серверной части ПО на сервере </w:t>
      </w:r>
      <w:r>
        <w:rPr>
          <w:rFonts w:ascii="Times New Roman" w:hAnsi="Times New Roman" w:cs="Times New Roman"/>
        </w:rPr>
        <w:t>Покупателя</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установка ПО Пульта оператора на 3 (трёх) Рабочих местах операторов;</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установка ПО Модуля записи обслуживания;</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начальная настройка </w:t>
      </w:r>
      <w:r>
        <w:rPr>
          <w:rFonts w:ascii="Times New Roman" w:hAnsi="Times New Roman" w:cs="Times New Roman"/>
        </w:rPr>
        <w:t>ПАК</w:t>
      </w:r>
      <w:r w:rsidRPr="00A7702C">
        <w:rPr>
          <w:rFonts w:ascii="Times New Roman" w:hAnsi="Times New Roman" w:cs="Times New Roman"/>
        </w:rPr>
        <w:t>: создание справочников Отделения, Услуг, Операторов, Рабочих мест, шаблона меню Информационного терминала, шаблонов оформления средств визуального оповещения;</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проведение сквозного функционального тестирования </w:t>
      </w:r>
      <w:r>
        <w:rPr>
          <w:rFonts w:ascii="Times New Roman" w:hAnsi="Times New Roman" w:cs="Times New Roman"/>
        </w:rPr>
        <w:t>ПАК</w:t>
      </w:r>
      <w:r w:rsidRPr="00A7702C">
        <w:rPr>
          <w:rFonts w:ascii="Times New Roman" w:hAnsi="Times New Roman" w:cs="Times New Roman"/>
        </w:rPr>
        <w:t xml:space="preserve"> (выдача талона на Информационном терминале → отображение в очереди на Пульте оператора → вызов оператором → отображение информации о вызове на ТВ-панели и Светодиодном табло → запись разговора → закрытие талона → проверка отражения данных в статистике).</w:t>
      </w:r>
    </w:p>
    <w:p w:rsidR="00B91568" w:rsidRPr="00A7702C" w:rsidRDefault="00B91568" w:rsidP="00B91568">
      <w:pPr>
        <w:spacing w:after="0" w:line="240" w:lineRule="auto"/>
        <w:rPr>
          <w:rFonts w:ascii="Times New Roman" w:hAnsi="Times New Roman" w:cs="Times New Roman"/>
        </w:rPr>
      </w:pPr>
      <w:r>
        <w:rPr>
          <w:rFonts w:ascii="Times New Roman" w:hAnsi="Times New Roman" w:cs="Times New Roman"/>
        </w:rPr>
        <w:t>Покупатель</w:t>
      </w:r>
      <w:r w:rsidRPr="00A7702C">
        <w:rPr>
          <w:rFonts w:ascii="Times New Roman" w:hAnsi="Times New Roman" w:cs="Times New Roman"/>
        </w:rPr>
        <w:t xml:space="preserve"> в целях обеспечения возможности выполнения монтажных и пусконаладочных работ обязуется:</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предоставить помещения, оборудованные системой электропитания ~220 В в местах установки </w:t>
      </w:r>
      <w:r>
        <w:rPr>
          <w:rFonts w:ascii="Times New Roman" w:hAnsi="Times New Roman" w:cs="Times New Roman"/>
        </w:rPr>
        <w:t>ПАК</w:t>
      </w:r>
      <w:r w:rsidRPr="00A7702C">
        <w:rPr>
          <w:rFonts w:ascii="Times New Roman" w:hAnsi="Times New Roman" w:cs="Times New Roman"/>
        </w:rPr>
        <w:t>, сервера и Рабочих мест операторов;</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предоставить сервер с установленной операционной системой и предоставить Поставщику доступ к серверу для развёртывания серверной части ПО;</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предоставить локальную вычислительную сеть Объекта, объединяющую все компоненты </w:t>
      </w:r>
      <w:r>
        <w:rPr>
          <w:rFonts w:ascii="Times New Roman" w:hAnsi="Times New Roman" w:cs="Times New Roman"/>
        </w:rPr>
        <w:t>ПАК</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обеспечить прокладку кабельных трасс (если требуется</w:t>
      </w:r>
      <w:r>
        <w:rPr>
          <w:rFonts w:ascii="Times New Roman" w:hAnsi="Times New Roman" w:cs="Times New Roman"/>
        </w:rPr>
        <w:t xml:space="preserve"> </w:t>
      </w:r>
      <w:r w:rsidRPr="00A7702C">
        <w:rPr>
          <w:rFonts w:ascii="Times New Roman" w:hAnsi="Times New Roman" w:cs="Times New Roman"/>
        </w:rPr>
        <w:t>меж</w:t>
      </w:r>
      <w:r>
        <w:rPr>
          <w:rFonts w:ascii="Times New Roman" w:hAnsi="Times New Roman" w:cs="Times New Roman"/>
        </w:rPr>
        <w:t xml:space="preserve">ду </w:t>
      </w:r>
      <w:r w:rsidRPr="00A7702C">
        <w:rPr>
          <w:rFonts w:ascii="Times New Roman" w:hAnsi="Times New Roman" w:cs="Times New Roman"/>
        </w:rPr>
        <w:t>этаж</w:t>
      </w:r>
      <w:r>
        <w:rPr>
          <w:rFonts w:ascii="Times New Roman" w:hAnsi="Times New Roman" w:cs="Times New Roman"/>
        </w:rPr>
        <w:t xml:space="preserve">ами </w:t>
      </w:r>
      <w:r w:rsidRPr="00A7702C">
        <w:rPr>
          <w:rFonts w:ascii="Times New Roman" w:hAnsi="Times New Roman" w:cs="Times New Roman"/>
        </w:rPr>
        <w:t>и меж</w:t>
      </w:r>
      <w:r>
        <w:rPr>
          <w:rFonts w:ascii="Times New Roman" w:hAnsi="Times New Roman" w:cs="Times New Roman"/>
        </w:rPr>
        <w:t xml:space="preserve">ду </w:t>
      </w:r>
      <w:r w:rsidRPr="00A7702C">
        <w:rPr>
          <w:rFonts w:ascii="Times New Roman" w:hAnsi="Times New Roman" w:cs="Times New Roman"/>
        </w:rPr>
        <w:t>помещен</w:t>
      </w:r>
      <w:r>
        <w:rPr>
          <w:rFonts w:ascii="Times New Roman" w:hAnsi="Times New Roman" w:cs="Times New Roman"/>
        </w:rPr>
        <w:t>иями)</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обеспечить доступ работников Поставщика к местам производства работ в согласованные Сторонами сроки;</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назначить уполномоченного представителя </w:t>
      </w:r>
      <w:r>
        <w:rPr>
          <w:rFonts w:ascii="Times New Roman" w:hAnsi="Times New Roman" w:cs="Times New Roman"/>
        </w:rPr>
        <w:t>Покупателя</w:t>
      </w:r>
      <w:r w:rsidRPr="00A7702C">
        <w:rPr>
          <w:rFonts w:ascii="Times New Roman" w:hAnsi="Times New Roman" w:cs="Times New Roman"/>
        </w:rPr>
        <w:t xml:space="preserve"> для согласования размещения </w:t>
      </w:r>
      <w:r>
        <w:rPr>
          <w:rFonts w:ascii="Times New Roman" w:hAnsi="Times New Roman" w:cs="Times New Roman"/>
        </w:rPr>
        <w:t>ПАК</w:t>
      </w:r>
      <w:r w:rsidRPr="00A7702C">
        <w:rPr>
          <w:rFonts w:ascii="Times New Roman" w:hAnsi="Times New Roman" w:cs="Times New Roman"/>
        </w:rPr>
        <w:t>.</w:t>
      </w:r>
    </w:p>
    <w:p w:rsidR="00B91568" w:rsidRPr="00A7702C" w:rsidRDefault="00B91568" w:rsidP="00B91568">
      <w:pPr>
        <w:pStyle w:val="3"/>
        <w:rPr>
          <w:rFonts w:ascii="Times New Roman" w:hAnsi="Times New Roman" w:cs="Times New Roman"/>
          <w:sz w:val="22"/>
        </w:rPr>
      </w:pPr>
      <w:bookmarkStart w:id="21" w:name="обучение-персонала-заказчика"/>
      <w:r w:rsidRPr="00A7702C">
        <w:rPr>
          <w:rFonts w:ascii="Times New Roman" w:hAnsi="Times New Roman" w:cs="Times New Roman"/>
          <w:sz w:val="22"/>
        </w:rPr>
        <w:t xml:space="preserve"> </w:t>
      </w:r>
      <w:r>
        <w:rPr>
          <w:rFonts w:ascii="Times New Roman" w:hAnsi="Times New Roman" w:cs="Times New Roman"/>
          <w:sz w:val="22"/>
        </w:rPr>
        <w:t>Покупателя</w:t>
      </w:r>
    </w:p>
    <w:p w:rsidR="00B91568" w:rsidRPr="00A7702C" w:rsidRDefault="00B91568" w:rsidP="00B91568">
      <w:pPr>
        <w:spacing w:after="0" w:line="240" w:lineRule="auto"/>
        <w:rPr>
          <w:rFonts w:ascii="Times New Roman" w:hAnsi="Times New Roman" w:cs="Times New Roman"/>
        </w:rPr>
      </w:pPr>
      <w:r w:rsidRPr="00A7702C">
        <w:rPr>
          <w:rFonts w:ascii="Times New Roman" w:hAnsi="Times New Roman" w:cs="Times New Roman"/>
        </w:rPr>
        <w:t xml:space="preserve">Поставщик обязуется провести обучение персонала </w:t>
      </w:r>
      <w:r>
        <w:rPr>
          <w:rFonts w:ascii="Times New Roman" w:hAnsi="Times New Roman" w:cs="Times New Roman"/>
        </w:rPr>
        <w:t>Покупателя</w:t>
      </w:r>
      <w:r w:rsidRPr="00A7702C">
        <w:rPr>
          <w:rFonts w:ascii="Times New Roman" w:hAnsi="Times New Roman" w:cs="Times New Roman"/>
        </w:rPr>
        <w:t xml:space="preserve"> работе с </w:t>
      </w:r>
      <w:r>
        <w:rPr>
          <w:rFonts w:ascii="Times New Roman" w:hAnsi="Times New Roman" w:cs="Times New Roman"/>
        </w:rPr>
        <w:t>ПАК</w:t>
      </w:r>
      <w:r w:rsidRPr="00A7702C">
        <w:rPr>
          <w:rFonts w:ascii="Times New Roman" w:hAnsi="Times New Roman" w:cs="Times New Roman"/>
        </w:rPr>
        <w:t>:</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обучение администратора </w:t>
      </w:r>
      <w:r>
        <w:rPr>
          <w:rFonts w:ascii="Times New Roman" w:hAnsi="Times New Roman" w:cs="Times New Roman"/>
        </w:rPr>
        <w:t>ПАК</w:t>
      </w:r>
      <w:r w:rsidRPr="00A7702C">
        <w:rPr>
          <w:rFonts w:ascii="Times New Roman" w:hAnsi="Times New Roman" w:cs="Times New Roman"/>
        </w:rPr>
        <w:t xml:space="preserve"> (1–2 человека) — продолжительность не менее 4 (четырёх) академических часов; программа обучения включает: настройку справочников </w:t>
      </w:r>
      <w:r>
        <w:rPr>
          <w:rFonts w:ascii="Times New Roman" w:hAnsi="Times New Roman" w:cs="Times New Roman"/>
        </w:rPr>
        <w:t>ПАК</w:t>
      </w:r>
      <w:r w:rsidRPr="00A7702C">
        <w:rPr>
          <w:rFonts w:ascii="Times New Roman" w:hAnsi="Times New Roman" w:cs="Times New Roman"/>
        </w:rPr>
        <w:t>, управление пользователями и ролями, работу со статистическими отчётами, резервное копирование базы данных, базовое устранение типовых неисправностей;</w:t>
      </w:r>
    </w:p>
    <w:p w:rsidR="00B91568" w:rsidRPr="00A7702C" w:rsidRDefault="00B91568" w:rsidP="00B91568">
      <w:pPr>
        <w:numPr>
          <w:ilvl w:val="0"/>
          <w:numId w:val="20"/>
        </w:numPr>
        <w:spacing w:after="0" w:line="240" w:lineRule="auto"/>
        <w:rPr>
          <w:rFonts w:ascii="Times New Roman" w:hAnsi="Times New Roman" w:cs="Times New Roman"/>
        </w:rPr>
      </w:pPr>
      <w:r w:rsidRPr="00A7702C">
        <w:rPr>
          <w:rFonts w:ascii="Times New Roman" w:hAnsi="Times New Roman" w:cs="Times New Roman"/>
        </w:rPr>
        <w:t xml:space="preserve">обучение операторов </w:t>
      </w:r>
      <w:r>
        <w:rPr>
          <w:rFonts w:ascii="Times New Roman" w:hAnsi="Times New Roman" w:cs="Times New Roman"/>
        </w:rPr>
        <w:t>ПАК</w:t>
      </w:r>
      <w:r w:rsidRPr="00A7702C">
        <w:rPr>
          <w:rFonts w:ascii="Times New Roman" w:hAnsi="Times New Roman" w:cs="Times New Roman"/>
        </w:rPr>
        <w:t xml:space="preserve"> (до 3 человек, по числу поставленных лицензий) — продолжительность не менее 1 (одного) академического часа; программа обучения включает: вход в </w:t>
      </w:r>
      <w:r>
        <w:rPr>
          <w:rFonts w:ascii="Times New Roman" w:hAnsi="Times New Roman" w:cs="Times New Roman"/>
        </w:rPr>
        <w:t>ПАК</w:t>
      </w:r>
      <w:r w:rsidRPr="00A7702C">
        <w:rPr>
          <w:rFonts w:ascii="Times New Roman" w:hAnsi="Times New Roman" w:cs="Times New Roman"/>
        </w:rPr>
        <w:t>, работу с очередью талонов, вызов и завершение обслуживания талона, перенаправление талона, постановку обслуживания на паузу.</w:t>
      </w:r>
    </w:p>
    <w:p w:rsidR="00B91568" w:rsidRPr="00A7702C" w:rsidRDefault="00B91568" w:rsidP="00B91568">
      <w:pPr>
        <w:spacing w:after="0" w:line="240" w:lineRule="auto"/>
        <w:rPr>
          <w:rFonts w:ascii="Times New Roman" w:hAnsi="Times New Roman" w:cs="Times New Roman"/>
        </w:rPr>
      </w:pPr>
      <w:r w:rsidRPr="00A7702C">
        <w:rPr>
          <w:rFonts w:ascii="Times New Roman" w:hAnsi="Times New Roman" w:cs="Times New Roman"/>
        </w:rPr>
        <w:t xml:space="preserve">Обучение проводится очно на Объекте </w:t>
      </w:r>
      <w:r>
        <w:rPr>
          <w:rFonts w:ascii="Times New Roman" w:hAnsi="Times New Roman" w:cs="Times New Roman"/>
        </w:rPr>
        <w:t>Покупателя</w:t>
      </w:r>
      <w:r w:rsidRPr="00A7702C">
        <w:rPr>
          <w:rFonts w:ascii="Times New Roman" w:hAnsi="Times New Roman" w:cs="Times New Roman"/>
        </w:rPr>
        <w:t xml:space="preserve"> либо удалённо с использованием средств видеоконференцсвязи, по согласованию Сторон.</w:t>
      </w:r>
    </w:p>
    <w:bookmarkEnd w:id="21"/>
    <w:p w:rsidR="00170252" w:rsidRDefault="00170252" w:rsidP="000820E3">
      <w:pPr>
        <w:rPr>
          <w:rFonts w:ascii="Times New Roman" w:hAnsi="Times New Roman" w:cs="Times New Roman"/>
          <w:b/>
          <w:sz w:val="28"/>
          <w:szCs w:val="28"/>
        </w:rPr>
      </w:pPr>
    </w:p>
    <w:sectPr w:rsidR="00170252" w:rsidSect="00B91568">
      <w:headerReference w:type="first" r:id="rId18"/>
      <w:footerReference w:type="first" r:id="rId19"/>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906" w:rsidRDefault="008D3906">
      <w:pPr>
        <w:spacing w:after="0" w:line="240" w:lineRule="auto"/>
      </w:pPr>
      <w:r>
        <w:separator/>
      </w:r>
    </w:p>
  </w:endnote>
  <w:endnote w:type="continuationSeparator" w:id="0">
    <w:p w:rsidR="008D3906" w:rsidRDefault="008D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47B3" w:rsidRDefault="00BD47B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47B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D47B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D47B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47B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3039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D47B3">
    <w:pPr>
      <w:pStyle w:val="ab"/>
      <w:jc w:val="right"/>
    </w:pPr>
    <w:sdt>
      <w:sdtPr>
        <w:id w:val="-189919984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30390">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906" w:rsidRDefault="008D3906">
      <w:pPr>
        <w:spacing w:after="0" w:line="240" w:lineRule="auto"/>
      </w:pPr>
      <w:r>
        <w:separator/>
      </w:r>
    </w:p>
  </w:footnote>
  <w:footnote w:type="continuationSeparator" w:id="0">
    <w:p w:rsidR="008D3906" w:rsidRDefault="008D390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47B3" w:rsidRDefault="00BD47B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47B3" w:rsidRDefault="00BD47B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D47B3" w:rsidRDefault="00BD47B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4DF0648A"/>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4"/>
  </w:num>
  <w:num w:numId="5">
    <w:abstractNumId w:val="14"/>
  </w:num>
  <w:num w:numId="6">
    <w:abstractNumId w:val="11"/>
  </w:num>
  <w:num w:numId="7">
    <w:abstractNumId w:val="3"/>
  </w:num>
  <w:num w:numId="8">
    <w:abstractNumId w:val="17"/>
  </w:num>
  <w:num w:numId="9">
    <w:abstractNumId w:val="2"/>
  </w:num>
  <w:num w:numId="10">
    <w:abstractNumId w:val="16"/>
  </w:num>
  <w:num w:numId="11">
    <w:abstractNumId w:val="19"/>
  </w:num>
  <w:num w:numId="12">
    <w:abstractNumId w:val="10"/>
  </w:num>
  <w:num w:numId="13">
    <w:abstractNumId w:val="5"/>
  </w:num>
  <w:num w:numId="14">
    <w:abstractNumId w:val="9"/>
  </w:num>
  <w:num w:numId="15">
    <w:abstractNumId w:val="18"/>
  </w:num>
  <w:num w:numId="16">
    <w:abstractNumId w:val="13"/>
  </w:num>
  <w:num w:numId="17">
    <w:abstractNumId w:val="8"/>
  </w:num>
  <w:num w:numId="18">
    <w:abstractNumId w:val="7"/>
  </w:num>
  <w:num w:numId="19">
    <w:abstractNumId w:val="15"/>
  </w:num>
  <w:num w:numId="2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30390"/>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D3906"/>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1568"/>
    <w:rsid w:val="00B96A23"/>
    <w:rsid w:val="00BA5FF8"/>
    <w:rsid w:val="00BB195D"/>
    <w:rsid w:val="00BC0D28"/>
    <w:rsid w:val="00BD47B3"/>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379F"/>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9308-ED45-4AE2-8E4F-1DD2BC60E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1856</Words>
  <Characters>10581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2026-06-17T05:47:00Z</dcterms:created>
  <dcterms:modified xsi:type="dcterms:W3CDTF">2026-06-17T05:47:00Z</dcterms:modified>
</cp:coreProperties>
</file>