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05-07/1695</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584F0D">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923C2">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60 (шестидесяти) календарных дней с момента подписания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в течение 60 (шестидесяти) календарных дней с момента подписания Контракта.
                <w:br/>
                допускается поставка партиями
              </w:t>
            </w:r>
            <w:r w:rsidRPr="00C15FD9">
              <w:rPr>
                <w:rFonts w:ascii="Times New Roman" w:hAnsi="Times New Roman" w:cs="Times New Roman"/>
                <w:noProof/>
                <w:sz w:val="24"/>
                <w:szCs w:val="24"/>
              </w:rPr>
              <w:t>
                <w:br/>
                допускается поставка партиями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xml:space="preserve">
                БЕЗ РУ 
                <w:br/>
                <w:br/>
                <w:br/>
              </w:t>
            </w:r>
            <w:r w:rsidRPr="00C15FD9">
              <w:rPr>
                <w:rFonts w:ascii="Times New Roman" w:hAnsi="Times New Roman" w:cs="Times New Roman"/>
                <w:noProof/>
                <w:sz w:val="24"/>
                <w:szCs w:val="24"/>
              </w:rPr>
            </w:r>
            <w:r w:rsidRPr="00C15FD9">
              <w:rPr>
                <w:rFonts w:ascii="Times New Roman" w:hAnsi="Times New Roman" w:cs="Times New Roman"/>
                <w:noProof/>
                <w:sz w:val="24"/>
                <w:szCs w:val="24"/>
              </w:rPr>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3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5923C2">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923C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934" w:type="pct"/>
        <w:tblInd w:w="-34" w:type="dxa"/>
        <w:tblLook w:val="04A0" w:firstRow="1" w:lastRow="0" w:firstColumn="1" w:lastColumn="0" w:noHBand="0" w:noVBand="1"/>
      </w:tblPr>
      <w:tblGrid>
        <w:gridCol w:w="445"/>
        <w:gridCol w:w="1287"/>
        <w:gridCol w:w="1113"/>
        <w:gridCol w:w="984"/>
        <w:gridCol w:w="2002"/>
        <w:gridCol w:w="2228"/>
        <w:gridCol w:w="1395"/>
        <w:gridCol w:w="1825"/>
        <w:gridCol w:w="1073"/>
        <w:gridCol w:w="1341"/>
        <w:gridCol w:w="749"/>
        <w:gridCol w:w="585"/>
        <w:gridCol w:w="710"/>
      </w:tblGrid>
      <w:tr w:rsidR="005923C2" w:rsidRPr="00863747" w:rsidTr="00740F9C">
        <w:trPr>
          <w:trHeight w:val="450"/>
        </w:trPr>
        <w:tc>
          <w:tcPr>
            <w:tcW w:w="141" w:type="pct"/>
            <w:vMerge w:val="restart"/>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 п/п</w:t>
            </w:r>
          </w:p>
        </w:tc>
        <w:tc>
          <w:tcPr>
            <w:tcW w:w="409" w:type="pct"/>
            <w:vMerge w:val="restart"/>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Наименование товара</w:t>
            </w:r>
          </w:p>
        </w:tc>
        <w:tc>
          <w:tcPr>
            <w:tcW w:w="354" w:type="pct"/>
            <w:vMerge w:val="restart"/>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Код ОКПД 2 / КТРУ</w:t>
            </w:r>
          </w:p>
        </w:tc>
        <w:tc>
          <w:tcPr>
            <w:tcW w:w="313" w:type="pct"/>
            <w:vMerge w:val="restart"/>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Единица измерения товара</w:t>
            </w:r>
          </w:p>
        </w:tc>
        <w:tc>
          <w:tcPr>
            <w:tcW w:w="636" w:type="pct"/>
            <w:vMerge w:val="restart"/>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Наименование характеристики</w:t>
            </w:r>
          </w:p>
        </w:tc>
        <w:tc>
          <w:tcPr>
            <w:tcW w:w="708" w:type="pct"/>
            <w:vMerge w:val="restart"/>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Значения характеристик товара</w:t>
            </w:r>
          </w:p>
        </w:tc>
        <w:tc>
          <w:tcPr>
            <w:tcW w:w="443" w:type="pct"/>
            <w:vMerge w:val="restart"/>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Единица измерения характеристики</w:t>
            </w:r>
          </w:p>
        </w:tc>
        <w:tc>
          <w:tcPr>
            <w:tcW w:w="580" w:type="pct"/>
            <w:vMerge w:val="restart"/>
            <w:tcBorders>
              <w:top w:val="single" w:sz="8" w:space="0" w:color="000000"/>
              <w:left w:val="single" w:sz="8" w:space="0" w:color="000000"/>
              <w:bottom w:val="single" w:sz="8" w:space="0" w:color="000000"/>
              <w:right w:val="single" w:sz="4" w:space="0" w:color="auto"/>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Инструкция заказчика по указанию значений характеристик товара участником закупки</w:t>
            </w:r>
          </w:p>
        </w:tc>
        <w:tc>
          <w:tcPr>
            <w:tcW w:w="341" w:type="pct"/>
            <w:vMerge w:val="restart"/>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Количество</w:t>
            </w:r>
          </w:p>
        </w:tc>
        <w:tc>
          <w:tcPr>
            <w:tcW w:w="426" w:type="pct"/>
            <w:vMerge w:val="restart"/>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Страна происхождения Товара</w:t>
            </w:r>
          </w:p>
        </w:tc>
        <w:tc>
          <w:tcPr>
            <w:tcW w:w="238" w:type="pct"/>
            <w:vMerge w:val="restart"/>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Ставка НДС%</w:t>
            </w:r>
          </w:p>
        </w:tc>
        <w:tc>
          <w:tcPr>
            <w:tcW w:w="186" w:type="pct"/>
            <w:vMerge w:val="restart"/>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sidRPr="008F702D">
              <w:rPr>
                <w:rFonts w:ascii="Times New Roman" w:eastAsia="Times New Roman" w:hAnsi="Times New Roman" w:cs="Times New Roman"/>
                <w:b/>
                <w:bCs/>
                <w:color w:val="000000"/>
                <w:sz w:val="16"/>
                <w:szCs w:val="16"/>
                <w:lang w:eastAsia="ru-RU"/>
              </w:rPr>
              <w:t>Цена за</w:t>
            </w:r>
            <w:r>
              <w:rPr>
                <w:rFonts w:ascii="Times New Roman" w:eastAsia="Times New Roman" w:hAnsi="Times New Roman" w:cs="Times New Roman"/>
                <w:b/>
                <w:bCs/>
                <w:color w:val="000000"/>
                <w:sz w:val="16"/>
                <w:szCs w:val="16"/>
                <w:lang w:eastAsia="ru-RU"/>
              </w:rPr>
              <w:t xml:space="preserve"> ед. с</w:t>
            </w:r>
            <w:r w:rsidRPr="008F702D">
              <w:rPr>
                <w:rFonts w:ascii="Times New Roman" w:eastAsia="Times New Roman" w:hAnsi="Times New Roman" w:cs="Times New Roman"/>
                <w:b/>
                <w:bCs/>
                <w:color w:val="000000"/>
                <w:sz w:val="16"/>
                <w:szCs w:val="16"/>
                <w:lang w:eastAsia="ru-RU"/>
              </w:rPr>
              <w:t xml:space="preserve"> НДС</w:t>
            </w:r>
          </w:p>
        </w:tc>
        <w:tc>
          <w:tcPr>
            <w:tcW w:w="226" w:type="pct"/>
            <w:vMerge w:val="restart"/>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Сумма с</w:t>
            </w:r>
            <w:r w:rsidRPr="008F702D">
              <w:rPr>
                <w:rFonts w:ascii="Times New Roman" w:eastAsia="Times New Roman" w:hAnsi="Times New Roman" w:cs="Times New Roman"/>
                <w:b/>
                <w:bCs/>
                <w:color w:val="000000"/>
                <w:sz w:val="16"/>
                <w:szCs w:val="16"/>
                <w:lang w:eastAsia="ru-RU"/>
              </w:rPr>
              <w:t xml:space="preserve"> НДС</w:t>
            </w:r>
          </w:p>
        </w:tc>
      </w:tr>
      <w:tr w:rsidR="005923C2" w:rsidRPr="00863747" w:rsidTr="00740F9C">
        <w:trPr>
          <w:trHeight w:val="450"/>
        </w:trPr>
        <w:tc>
          <w:tcPr>
            <w:tcW w:w="141"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409"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354"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313"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636"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708"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443"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580" w:type="pct"/>
            <w:vMerge/>
            <w:tcBorders>
              <w:top w:val="single" w:sz="8" w:space="0" w:color="000000"/>
              <w:left w:val="single" w:sz="8" w:space="0" w:color="000000"/>
              <w:bottom w:val="single" w:sz="8"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341" w:type="pct"/>
            <w:vMerge/>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426" w:type="pct"/>
            <w:vMerge/>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238" w:type="pct"/>
            <w:vMerge/>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186" w:type="pct"/>
            <w:vMerge/>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226" w:type="pct"/>
            <w:vMerge/>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r>
      <w:tr w:rsidR="005923C2" w:rsidRPr="00863747" w:rsidTr="00740F9C">
        <w:trPr>
          <w:trHeight w:val="450"/>
        </w:trPr>
        <w:tc>
          <w:tcPr>
            <w:tcW w:w="141"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409"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354"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313"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636"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708"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443" w:type="pct"/>
            <w:vMerge/>
            <w:tcBorders>
              <w:top w:val="single" w:sz="8" w:space="0" w:color="000000"/>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580" w:type="pct"/>
            <w:vMerge/>
            <w:tcBorders>
              <w:top w:val="single" w:sz="8" w:space="0" w:color="000000"/>
              <w:left w:val="single" w:sz="8" w:space="0" w:color="000000"/>
              <w:bottom w:val="single" w:sz="8"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341" w:type="pct"/>
            <w:vMerge/>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426" w:type="pct"/>
            <w:vMerge/>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238" w:type="pct"/>
            <w:vMerge/>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186" w:type="pct"/>
            <w:vMerge/>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c>
          <w:tcPr>
            <w:tcW w:w="226" w:type="pct"/>
            <w:vMerge/>
            <w:tcBorders>
              <w:top w:val="single" w:sz="4" w:space="0" w:color="auto"/>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b/>
                <w:bCs/>
                <w:color w:val="000000"/>
                <w:sz w:val="16"/>
                <w:szCs w:val="16"/>
                <w:lang w:eastAsia="ru-RU"/>
              </w:rPr>
            </w:pPr>
          </w:p>
        </w:tc>
      </w:tr>
      <w:tr w:rsidR="005923C2" w:rsidRPr="00863747" w:rsidTr="00740F9C">
        <w:trPr>
          <w:trHeight w:val="199"/>
        </w:trPr>
        <w:tc>
          <w:tcPr>
            <w:tcW w:w="141" w:type="pct"/>
            <w:vMerge w:val="restart"/>
            <w:tcBorders>
              <w:top w:val="nil"/>
              <w:left w:val="single" w:sz="8" w:space="0" w:color="000000"/>
              <w:bottom w:val="single" w:sz="8" w:space="0" w:color="000000"/>
              <w:right w:val="single" w:sz="8" w:space="0" w:color="000000"/>
            </w:tcBorders>
            <w:vAlign w:val="center"/>
            <w:hideMark/>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F702D">
              <w:rPr>
                <w:rFonts w:ascii="Times New Roman" w:eastAsia="Times New Roman" w:hAnsi="Times New Roman" w:cs="Times New Roman"/>
                <w:color w:val="000000"/>
                <w:sz w:val="16"/>
                <w:szCs w:val="16"/>
                <w:lang w:eastAsia="ru-RU"/>
              </w:rPr>
              <w:t>1</w:t>
            </w:r>
          </w:p>
        </w:tc>
        <w:tc>
          <w:tcPr>
            <w:tcW w:w="409" w:type="pct"/>
            <w:vMerge w:val="restart"/>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5923C2">
              <w:rPr>
                <w:rFonts w:ascii="Times New Roman" w:eastAsia="Times New Roman" w:hAnsi="Times New Roman" w:cs="Times New Roman"/>
                <w:color w:val="000000"/>
                <w:sz w:val="16"/>
                <w:szCs w:val="16"/>
                <w:lang w:eastAsia="ru-RU"/>
              </w:rPr>
              <w:t>Антитела к Подопланину</w:t>
            </w:r>
          </w:p>
        </w:tc>
        <w:tc>
          <w:tcPr>
            <w:tcW w:w="354" w:type="pct"/>
            <w:vMerge w:val="restart"/>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sz w:val="16"/>
                <w:szCs w:val="16"/>
              </w:rPr>
              <w:t>20.59.52.194</w:t>
            </w:r>
          </w:p>
        </w:tc>
        <w:tc>
          <w:tcPr>
            <w:tcW w:w="313" w:type="pct"/>
            <w:vMerge w:val="restart"/>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штука</w:t>
            </w:r>
          </w:p>
        </w:tc>
        <w:tc>
          <w:tcPr>
            <w:tcW w:w="636"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r w:rsidRPr="005923C2">
              <w:rPr>
                <w:rFonts w:ascii="Times New Roman" w:eastAsia="Times New Roman" w:hAnsi="Times New Roman" w:cs="Times New Roman"/>
                <w:color w:val="000000"/>
                <w:sz w:val="16"/>
                <w:szCs w:val="16"/>
                <w:lang w:eastAsia="ru-RU"/>
              </w:rPr>
              <w:t>Первичные антитела (мышиные моноклональные) к Подопланину, клон D2-40, концентрированные</w:t>
            </w:r>
          </w:p>
        </w:tc>
        <w:tc>
          <w:tcPr>
            <w:tcW w:w="708"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соответствие</w:t>
            </w:r>
          </w:p>
        </w:tc>
        <w:tc>
          <w:tcPr>
            <w:tcW w:w="443"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p>
        </w:tc>
        <w:tc>
          <w:tcPr>
            <w:tcW w:w="580" w:type="pct"/>
            <w:tcBorders>
              <w:top w:val="nil"/>
              <w:left w:val="nil"/>
              <w:bottom w:val="single" w:sz="8" w:space="0" w:color="000000"/>
              <w:right w:val="nil"/>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41" w:type="pct"/>
            <w:vMerge w:val="restart"/>
            <w:tcBorders>
              <w:top w:val="nil"/>
              <w:left w:val="single" w:sz="4" w:space="0" w:color="auto"/>
              <w:bottom w:val="single" w:sz="4" w:space="0" w:color="000000"/>
              <w:right w:val="single" w:sz="4" w:space="0" w:color="auto"/>
            </w:tcBorders>
            <w:noWrap/>
            <w:vAlign w:val="center"/>
            <w:hideMark/>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1</w:t>
            </w:r>
          </w:p>
        </w:tc>
        <w:tc>
          <w:tcPr>
            <w:tcW w:w="426" w:type="pct"/>
            <w:vMerge w:val="restart"/>
            <w:tcBorders>
              <w:top w:val="nil"/>
              <w:left w:val="single" w:sz="4" w:space="0" w:color="auto"/>
              <w:bottom w:val="single" w:sz="4" w:space="0" w:color="000000"/>
              <w:right w:val="single" w:sz="4" w:space="0" w:color="auto"/>
            </w:tcBorders>
            <w:noWrap/>
            <w:vAlign w:val="bottom"/>
            <w:hideMark/>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F702D">
              <w:rPr>
                <w:rFonts w:ascii="Times New Roman" w:eastAsia="Times New Roman" w:hAnsi="Times New Roman" w:cs="Times New Roman"/>
                <w:color w:val="000000"/>
                <w:sz w:val="16"/>
                <w:szCs w:val="16"/>
                <w:lang w:eastAsia="ru-RU"/>
              </w:rPr>
              <w:t> </w:t>
            </w:r>
          </w:p>
        </w:tc>
        <w:tc>
          <w:tcPr>
            <w:tcW w:w="238" w:type="pct"/>
            <w:vMerge w:val="restart"/>
            <w:tcBorders>
              <w:top w:val="nil"/>
              <w:left w:val="single" w:sz="4" w:space="0" w:color="auto"/>
              <w:bottom w:val="single" w:sz="4" w:space="0" w:color="000000"/>
              <w:right w:val="single" w:sz="4" w:space="0" w:color="auto"/>
            </w:tcBorders>
            <w:noWrap/>
            <w:vAlign w:val="bottom"/>
            <w:hideMark/>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F702D">
              <w:rPr>
                <w:rFonts w:ascii="Times New Roman" w:eastAsia="Times New Roman" w:hAnsi="Times New Roman" w:cs="Times New Roman"/>
                <w:color w:val="000000"/>
                <w:sz w:val="16"/>
                <w:szCs w:val="16"/>
                <w:lang w:eastAsia="ru-RU"/>
              </w:rPr>
              <w:t> </w:t>
            </w:r>
          </w:p>
        </w:tc>
        <w:tc>
          <w:tcPr>
            <w:tcW w:w="186" w:type="pct"/>
            <w:vMerge w:val="restart"/>
            <w:tcBorders>
              <w:top w:val="nil"/>
              <w:left w:val="single" w:sz="4" w:space="0" w:color="auto"/>
              <w:bottom w:val="single" w:sz="4" w:space="0" w:color="000000"/>
              <w:right w:val="single" w:sz="4" w:space="0" w:color="auto"/>
            </w:tcBorders>
            <w:noWrap/>
            <w:vAlign w:val="bottom"/>
            <w:hideMark/>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F702D">
              <w:rPr>
                <w:rFonts w:ascii="Times New Roman" w:eastAsia="Times New Roman" w:hAnsi="Times New Roman" w:cs="Times New Roman"/>
                <w:color w:val="000000"/>
                <w:sz w:val="16"/>
                <w:szCs w:val="16"/>
                <w:lang w:eastAsia="ru-RU"/>
              </w:rPr>
              <w:t> </w:t>
            </w:r>
          </w:p>
        </w:tc>
        <w:tc>
          <w:tcPr>
            <w:tcW w:w="226" w:type="pct"/>
            <w:vMerge w:val="restart"/>
            <w:tcBorders>
              <w:top w:val="nil"/>
              <w:left w:val="single" w:sz="4" w:space="0" w:color="auto"/>
              <w:bottom w:val="single" w:sz="4" w:space="0" w:color="000000"/>
              <w:right w:val="single" w:sz="4" w:space="0" w:color="auto"/>
            </w:tcBorders>
            <w:noWrap/>
            <w:vAlign w:val="bottom"/>
            <w:hideMark/>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F702D">
              <w:rPr>
                <w:rFonts w:ascii="Times New Roman" w:eastAsia="Times New Roman" w:hAnsi="Times New Roman" w:cs="Times New Roman"/>
                <w:color w:val="000000"/>
                <w:sz w:val="16"/>
                <w:szCs w:val="16"/>
                <w:lang w:eastAsia="ru-RU"/>
              </w:rPr>
              <w:t> </w:t>
            </w:r>
          </w:p>
        </w:tc>
      </w:tr>
      <w:tr w:rsidR="005923C2" w:rsidRPr="00863747" w:rsidTr="00740F9C">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354"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r w:rsidRPr="005923C2">
              <w:rPr>
                <w:rFonts w:ascii="Times New Roman" w:eastAsia="Times New Roman" w:hAnsi="Times New Roman" w:cs="Times New Roman"/>
                <w:color w:val="000000"/>
                <w:sz w:val="16"/>
                <w:szCs w:val="16"/>
                <w:lang w:eastAsia="ru-RU"/>
              </w:rPr>
              <w:t>Предназначены для проведения иммуногистохимических исследований на парафиновых срезах фикси</w:t>
            </w:r>
            <w:r>
              <w:rPr>
                <w:rFonts w:ascii="Times New Roman" w:eastAsia="Times New Roman" w:hAnsi="Times New Roman" w:cs="Times New Roman"/>
                <w:color w:val="000000"/>
                <w:sz w:val="16"/>
                <w:szCs w:val="16"/>
                <w:lang w:eastAsia="ru-RU"/>
              </w:rPr>
              <w:t>рованного в формалине материала</w:t>
            </w:r>
          </w:p>
        </w:tc>
        <w:tc>
          <w:tcPr>
            <w:tcW w:w="708"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соответствие</w:t>
            </w:r>
          </w:p>
        </w:tc>
        <w:tc>
          <w:tcPr>
            <w:tcW w:w="443"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p>
        </w:tc>
        <w:tc>
          <w:tcPr>
            <w:tcW w:w="580" w:type="pct"/>
            <w:tcBorders>
              <w:top w:val="nil"/>
              <w:left w:val="nil"/>
              <w:bottom w:val="single" w:sz="8" w:space="0" w:color="000000"/>
              <w:right w:val="nil"/>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41"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r>
      <w:tr w:rsidR="005923C2" w:rsidRPr="00863747" w:rsidTr="00740F9C">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354"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Реактивность</w:t>
            </w:r>
          </w:p>
        </w:tc>
        <w:tc>
          <w:tcPr>
            <w:tcW w:w="708"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человек</w:t>
            </w:r>
          </w:p>
        </w:tc>
        <w:tc>
          <w:tcPr>
            <w:tcW w:w="443"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p>
        </w:tc>
        <w:tc>
          <w:tcPr>
            <w:tcW w:w="580" w:type="pct"/>
            <w:tcBorders>
              <w:top w:val="nil"/>
              <w:left w:val="nil"/>
              <w:bottom w:val="single" w:sz="8" w:space="0" w:color="000000"/>
              <w:right w:val="nil"/>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41"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r>
      <w:tr w:rsidR="005923C2" w:rsidRPr="00863747" w:rsidTr="00740F9C">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354"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r w:rsidRPr="005923C2">
              <w:rPr>
                <w:rFonts w:ascii="Times New Roman" w:eastAsia="Times New Roman" w:hAnsi="Times New Roman" w:cs="Times New Roman"/>
                <w:color w:val="000000"/>
                <w:sz w:val="16"/>
                <w:szCs w:val="16"/>
                <w:lang w:eastAsia="ru-RU"/>
              </w:rPr>
              <w:t>Рекомендуемое разведение: 1:25 - 1:100</w:t>
            </w:r>
          </w:p>
        </w:tc>
        <w:tc>
          <w:tcPr>
            <w:tcW w:w="708"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соответствие</w:t>
            </w:r>
          </w:p>
        </w:tc>
        <w:tc>
          <w:tcPr>
            <w:tcW w:w="443"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p>
        </w:tc>
        <w:tc>
          <w:tcPr>
            <w:tcW w:w="580" w:type="pct"/>
            <w:tcBorders>
              <w:top w:val="nil"/>
              <w:left w:val="nil"/>
              <w:bottom w:val="single" w:sz="8" w:space="0" w:color="000000"/>
              <w:right w:val="nil"/>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41"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r>
      <w:tr w:rsidR="005923C2" w:rsidRPr="00863747" w:rsidTr="0011202E">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354"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 xml:space="preserve">Формат: пластиковый флакон </w:t>
            </w:r>
          </w:p>
        </w:tc>
        <w:tc>
          <w:tcPr>
            <w:tcW w:w="708"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не менее 0,5</w:t>
            </w:r>
          </w:p>
        </w:tc>
        <w:tc>
          <w:tcPr>
            <w:tcW w:w="443" w:type="pct"/>
            <w:tcBorders>
              <w:top w:val="nil"/>
              <w:left w:val="nil"/>
              <w:bottom w:val="single" w:sz="8" w:space="0" w:color="000000"/>
              <w:right w:val="single" w:sz="8" w:space="0" w:color="000000"/>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мл</w:t>
            </w:r>
          </w:p>
        </w:tc>
        <w:tc>
          <w:tcPr>
            <w:tcW w:w="580" w:type="pct"/>
            <w:tcBorders>
              <w:top w:val="nil"/>
              <w:left w:val="nil"/>
              <w:bottom w:val="single" w:sz="8" w:space="0" w:color="000000"/>
              <w:right w:val="nil"/>
            </w:tcBorders>
            <w:vAlign w:val="center"/>
          </w:tcPr>
          <w:p w:rsidR="005923C2" w:rsidRPr="008F702D" w:rsidRDefault="005923C2" w:rsidP="005923C2">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hAnsi="Times New Roman" w:cs="Times New Roman"/>
                <w:sz w:val="16"/>
                <w:szCs w:val="16"/>
              </w:rPr>
              <w:t>Указывают в заявке конкретное значение характеристики</w:t>
            </w:r>
          </w:p>
        </w:tc>
        <w:tc>
          <w:tcPr>
            <w:tcW w:w="341"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5923C2">
            <w:pPr>
              <w:spacing w:after="0" w:line="240" w:lineRule="auto"/>
              <w:rPr>
                <w:rFonts w:ascii="Times New Roman" w:eastAsia="Times New Roman" w:hAnsi="Times New Roman" w:cs="Times New Roman"/>
                <w:color w:val="000000"/>
                <w:sz w:val="16"/>
                <w:szCs w:val="16"/>
                <w:lang w:eastAsia="ru-RU"/>
              </w:rPr>
            </w:pPr>
          </w:p>
        </w:tc>
      </w:tr>
      <w:tr w:rsidR="005923C2" w:rsidRPr="00863747" w:rsidTr="00740F9C">
        <w:trPr>
          <w:trHeight w:val="450"/>
        </w:trPr>
        <w:tc>
          <w:tcPr>
            <w:tcW w:w="141" w:type="pct"/>
            <w:vMerge w:val="restart"/>
            <w:tcBorders>
              <w:top w:val="nil"/>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F702D">
              <w:rPr>
                <w:rFonts w:ascii="Times New Roman" w:eastAsia="Times New Roman" w:hAnsi="Times New Roman" w:cs="Times New Roman"/>
                <w:color w:val="000000"/>
                <w:sz w:val="16"/>
                <w:szCs w:val="16"/>
                <w:lang w:eastAsia="ru-RU"/>
              </w:rPr>
              <w:t>2</w:t>
            </w:r>
          </w:p>
        </w:tc>
        <w:tc>
          <w:tcPr>
            <w:tcW w:w="409" w:type="pct"/>
            <w:vMerge w:val="restart"/>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Антитела к SOX10</w:t>
            </w:r>
          </w:p>
        </w:tc>
        <w:tc>
          <w:tcPr>
            <w:tcW w:w="354" w:type="pct"/>
            <w:vMerge w:val="restart"/>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sz w:val="16"/>
                <w:szCs w:val="16"/>
              </w:rPr>
              <w:t>20.59.52.194</w:t>
            </w:r>
          </w:p>
        </w:tc>
        <w:tc>
          <w:tcPr>
            <w:tcW w:w="313" w:type="pct"/>
            <w:vMerge w:val="restart"/>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штука</w:t>
            </w:r>
          </w:p>
        </w:tc>
        <w:tc>
          <w:tcPr>
            <w:tcW w:w="636" w:type="pct"/>
            <w:vMerge w:val="restart"/>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Первичные антитела (кроличьи моноклональные) к SOX10, клон EP268, концентрированные</w:t>
            </w:r>
          </w:p>
        </w:tc>
        <w:tc>
          <w:tcPr>
            <w:tcW w:w="708" w:type="pct"/>
            <w:vMerge w:val="restar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соответствие</w:t>
            </w:r>
          </w:p>
        </w:tc>
        <w:tc>
          <w:tcPr>
            <w:tcW w:w="443" w:type="pct"/>
            <w:vMerge w:val="restar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p>
        </w:tc>
        <w:tc>
          <w:tcPr>
            <w:tcW w:w="580" w:type="pct"/>
            <w:vMerge w:val="restart"/>
            <w:tcBorders>
              <w:top w:val="nil"/>
              <w:left w:val="nil"/>
              <w:bottom w:val="single" w:sz="8" w:space="0" w:color="000000"/>
              <w:right w:val="nil"/>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41" w:type="pct"/>
            <w:vMerge w:val="restart"/>
            <w:tcBorders>
              <w:top w:val="nil"/>
              <w:left w:val="single" w:sz="4" w:space="0" w:color="auto"/>
              <w:bottom w:val="single" w:sz="4" w:space="0" w:color="000000"/>
              <w:right w:val="single" w:sz="4" w:space="0" w:color="auto"/>
            </w:tcBorders>
            <w:noWrap/>
            <w:vAlign w:val="center"/>
            <w:hideMark/>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1</w:t>
            </w:r>
          </w:p>
        </w:tc>
        <w:tc>
          <w:tcPr>
            <w:tcW w:w="426" w:type="pct"/>
            <w:vMerge w:val="restart"/>
            <w:tcBorders>
              <w:top w:val="nil"/>
              <w:left w:val="single" w:sz="4" w:space="0" w:color="auto"/>
              <w:bottom w:val="single" w:sz="4" w:space="0" w:color="000000"/>
              <w:right w:val="single" w:sz="4" w:space="0" w:color="auto"/>
            </w:tcBorders>
            <w:noWrap/>
            <w:vAlign w:val="bottom"/>
            <w:hideMark/>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F702D">
              <w:rPr>
                <w:rFonts w:ascii="Times New Roman" w:eastAsia="Times New Roman" w:hAnsi="Times New Roman" w:cs="Times New Roman"/>
                <w:color w:val="000000"/>
                <w:sz w:val="16"/>
                <w:szCs w:val="16"/>
                <w:lang w:eastAsia="ru-RU"/>
              </w:rPr>
              <w:t> </w:t>
            </w:r>
          </w:p>
        </w:tc>
        <w:tc>
          <w:tcPr>
            <w:tcW w:w="238" w:type="pct"/>
            <w:vMerge w:val="restart"/>
            <w:tcBorders>
              <w:top w:val="nil"/>
              <w:left w:val="single" w:sz="4" w:space="0" w:color="auto"/>
              <w:bottom w:val="single" w:sz="4" w:space="0" w:color="000000"/>
              <w:right w:val="single" w:sz="4" w:space="0" w:color="auto"/>
            </w:tcBorders>
            <w:noWrap/>
            <w:vAlign w:val="bottom"/>
            <w:hideMark/>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F702D">
              <w:rPr>
                <w:rFonts w:ascii="Times New Roman" w:eastAsia="Times New Roman" w:hAnsi="Times New Roman" w:cs="Times New Roman"/>
                <w:color w:val="000000"/>
                <w:sz w:val="16"/>
                <w:szCs w:val="16"/>
                <w:lang w:eastAsia="ru-RU"/>
              </w:rPr>
              <w:t> </w:t>
            </w:r>
          </w:p>
        </w:tc>
        <w:tc>
          <w:tcPr>
            <w:tcW w:w="186" w:type="pct"/>
            <w:vMerge w:val="restart"/>
            <w:tcBorders>
              <w:top w:val="nil"/>
              <w:left w:val="single" w:sz="4" w:space="0" w:color="auto"/>
              <w:bottom w:val="single" w:sz="4" w:space="0" w:color="000000"/>
              <w:right w:val="single" w:sz="4" w:space="0" w:color="auto"/>
            </w:tcBorders>
            <w:noWrap/>
            <w:vAlign w:val="bottom"/>
            <w:hideMark/>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F702D">
              <w:rPr>
                <w:rFonts w:ascii="Times New Roman" w:eastAsia="Times New Roman" w:hAnsi="Times New Roman" w:cs="Times New Roman"/>
                <w:color w:val="000000"/>
                <w:sz w:val="16"/>
                <w:szCs w:val="16"/>
                <w:lang w:eastAsia="ru-RU"/>
              </w:rPr>
              <w:t> </w:t>
            </w:r>
          </w:p>
        </w:tc>
        <w:tc>
          <w:tcPr>
            <w:tcW w:w="226" w:type="pct"/>
            <w:vMerge w:val="restart"/>
            <w:tcBorders>
              <w:top w:val="nil"/>
              <w:left w:val="single" w:sz="4" w:space="0" w:color="auto"/>
              <w:bottom w:val="single" w:sz="4" w:space="0" w:color="000000"/>
              <w:right w:val="single" w:sz="4" w:space="0" w:color="auto"/>
            </w:tcBorders>
            <w:noWrap/>
            <w:vAlign w:val="bottom"/>
            <w:hideMark/>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F702D">
              <w:rPr>
                <w:rFonts w:ascii="Times New Roman" w:eastAsia="Times New Roman" w:hAnsi="Times New Roman" w:cs="Times New Roman"/>
                <w:color w:val="000000"/>
                <w:sz w:val="16"/>
                <w:szCs w:val="16"/>
                <w:lang w:eastAsia="ru-RU"/>
              </w:rPr>
              <w:t> </w:t>
            </w:r>
          </w:p>
        </w:tc>
      </w:tr>
      <w:tr w:rsidR="005923C2" w:rsidRPr="00863747" w:rsidTr="00740F9C">
        <w:trPr>
          <w:trHeight w:val="450"/>
        </w:trPr>
        <w:tc>
          <w:tcPr>
            <w:tcW w:w="141" w:type="pct"/>
            <w:vMerge/>
            <w:tcBorders>
              <w:top w:val="nil"/>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54"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636"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708"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43"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580" w:type="pct"/>
            <w:vMerge/>
            <w:tcBorders>
              <w:top w:val="nil"/>
              <w:left w:val="single" w:sz="8" w:space="0" w:color="000000"/>
              <w:bottom w:val="single" w:sz="8" w:space="0" w:color="000000"/>
              <w:right w:val="nil"/>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r>
      <w:tr w:rsidR="005923C2" w:rsidRPr="00863747" w:rsidTr="00740F9C">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54"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Предназначены для проведения иммуногистохимических исследований на парафиновых срезах фиксированного в формалине материала</w:t>
            </w:r>
          </w:p>
        </w:tc>
        <w:tc>
          <w:tcPr>
            <w:tcW w:w="708"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соответствие</w:t>
            </w:r>
          </w:p>
        </w:tc>
        <w:tc>
          <w:tcPr>
            <w:tcW w:w="443"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p>
        </w:tc>
        <w:tc>
          <w:tcPr>
            <w:tcW w:w="580" w:type="pct"/>
            <w:tcBorders>
              <w:top w:val="nil"/>
              <w:left w:val="nil"/>
              <w:bottom w:val="single" w:sz="8" w:space="0" w:color="000000"/>
              <w:right w:val="nil"/>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41"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r>
      <w:tr w:rsidR="005923C2" w:rsidRPr="00863747" w:rsidTr="00740F9C">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54"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Реактивность человек</w:t>
            </w:r>
          </w:p>
        </w:tc>
        <w:tc>
          <w:tcPr>
            <w:tcW w:w="708"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человек</w:t>
            </w:r>
          </w:p>
        </w:tc>
        <w:tc>
          <w:tcPr>
            <w:tcW w:w="443"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p>
        </w:tc>
        <w:tc>
          <w:tcPr>
            <w:tcW w:w="580" w:type="pct"/>
            <w:tcBorders>
              <w:top w:val="nil"/>
              <w:left w:val="nil"/>
              <w:bottom w:val="single" w:sz="8" w:space="0" w:color="000000"/>
              <w:right w:val="nil"/>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41"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r>
      <w:tr w:rsidR="005923C2" w:rsidRPr="00863747" w:rsidTr="00740F9C">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54"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Рекомендуемое разведение: 1:50 - 1:200</w:t>
            </w:r>
          </w:p>
        </w:tc>
        <w:tc>
          <w:tcPr>
            <w:tcW w:w="708"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соответствие</w:t>
            </w:r>
          </w:p>
        </w:tc>
        <w:tc>
          <w:tcPr>
            <w:tcW w:w="443"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p>
        </w:tc>
        <w:tc>
          <w:tcPr>
            <w:tcW w:w="580" w:type="pct"/>
            <w:tcBorders>
              <w:top w:val="nil"/>
              <w:left w:val="nil"/>
              <w:bottom w:val="single" w:sz="8" w:space="0" w:color="000000"/>
              <w:right w:val="nil"/>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41"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r>
      <w:tr w:rsidR="005923C2" w:rsidRPr="00863747" w:rsidTr="00740F9C">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54"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 xml:space="preserve">Формат: пластиковый флакон </w:t>
            </w:r>
          </w:p>
        </w:tc>
        <w:tc>
          <w:tcPr>
            <w:tcW w:w="708"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 xml:space="preserve">не менее 0,1 </w:t>
            </w:r>
          </w:p>
        </w:tc>
        <w:tc>
          <w:tcPr>
            <w:tcW w:w="443" w:type="pct"/>
            <w:tcBorders>
              <w:top w:val="nil"/>
              <w:left w:val="nil"/>
              <w:bottom w:val="single" w:sz="8" w:space="0" w:color="000000"/>
              <w:right w:val="single" w:sz="8" w:space="0" w:color="000000"/>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eastAsia="Times New Roman" w:hAnsi="Times New Roman" w:cs="Times New Roman"/>
                <w:color w:val="000000"/>
                <w:sz w:val="16"/>
                <w:szCs w:val="16"/>
                <w:lang w:eastAsia="ru-RU"/>
              </w:rPr>
              <w:t>мл</w:t>
            </w:r>
          </w:p>
        </w:tc>
        <w:tc>
          <w:tcPr>
            <w:tcW w:w="580" w:type="pct"/>
            <w:tcBorders>
              <w:top w:val="nil"/>
              <w:left w:val="nil"/>
              <w:bottom w:val="single" w:sz="8" w:space="0" w:color="000000"/>
              <w:right w:val="nil"/>
            </w:tcBorders>
            <w:vAlign w:val="center"/>
          </w:tcPr>
          <w:p w:rsidR="005923C2" w:rsidRPr="008F702D" w:rsidRDefault="005923C2" w:rsidP="00740F9C">
            <w:pPr>
              <w:spacing w:after="0" w:line="240" w:lineRule="auto"/>
              <w:jc w:val="center"/>
              <w:rPr>
                <w:rFonts w:ascii="Times New Roman" w:eastAsia="Times New Roman" w:hAnsi="Times New Roman" w:cs="Times New Roman"/>
                <w:color w:val="000000"/>
                <w:sz w:val="16"/>
                <w:szCs w:val="16"/>
                <w:lang w:eastAsia="ru-RU"/>
              </w:rPr>
            </w:pPr>
            <w:r w:rsidRPr="00863747">
              <w:rPr>
                <w:rFonts w:ascii="Times New Roman" w:hAnsi="Times New Roman" w:cs="Times New Roman"/>
                <w:sz w:val="16"/>
                <w:szCs w:val="16"/>
              </w:rPr>
              <w:t>Указывают в заявке конкретное значение характеристики</w:t>
            </w:r>
          </w:p>
        </w:tc>
        <w:tc>
          <w:tcPr>
            <w:tcW w:w="341"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5923C2" w:rsidRPr="008F702D" w:rsidRDefault="005923C2" w:rsidP="00740F9C">
            <w:pPr>
              <w:spacing w:after="0" w:line="240" w:lineRule="auto"/>
              <w:rPr>
                <w:rFonts w:ascii="Times New Roman" w:eastAsia="Times New Roman" w:hAnsi="Times New Roman" w:cs="Times New Roman"/>
                <w:color w:val="000000"/>
                <w:sz w:val="16"/>
                <w:szCs w:val="16"/>
                <w:lang w:eastAsia="ru-RU"/>
              </w:rPr>
            </w:pPr>
          </w:p>
        </w:tc>
      </w:tr>
    </w:tbl>
    <w:p w:rsidR="00170252" w:rsidRDefault="00170252" w:rsidP="000820E3">
      <w:pPr>
        <w:rPr>
          <w:rFonts w:ascii="Times New Roman" w:hAnsi="Times New Roman" w:cs="Times New Roman"/>
          <w:b/>
          <w:sz w:val="28"/>
          <w:szCs w:val="28"/>
        </w:rPr>
      </w:pPr>
    </w:p>
    <w:sectPr w:rsidR="00170252" w:rsidSect="005923C2">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4B6" w:rsidRDefault="00F814B6">
      <w:pPr>
        <w:spacing w:after="0" w:line="240" w:lineRule="auto"/>
      </w:pPr>
      <w:r>
        <w:separator/>
      </w:r>
    </w:p>
  </w:endnote>
  <w:endnote w:type="continuationSeparator" w:id="0">
    <w:p w:rsidR="00F814B6" w:rsidRDefault="00F81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84F0D" w:rsidRDefault="00584F0D">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84F0D">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584F0D">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84F0D">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84F0D">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923C2">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84F0D">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923C2">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4B6" w:rsidRDefault="00F814B6">
      <w:pPr>
        <w:spacing w:after="0" w:line="240" w:lineRule="auto"/>
      </w:pPr>
      <w:r>
        <w:separator/>
      </w:r>
    </w:p>
  </w:footnote>
  <w:footnote w:type="continuationSeparator" w:id="0">
    <w:p w:rsidR="00F814B6" w:rsidRDefault="00F814B6">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84F0D" w:rsidRDefault="00584F0D">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84F0D" w:rsidRDefault="00584F0D">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84F0D" w:rsidRDefault="00584F0D">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4F0D"/>
    <w:rsid w:val="00585F05"/>
    <w:rsid w:val="005923C2"/>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14B6"/>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DAED4-2A6D-452C-98C7-1D61D07E7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1097</Words>
  <Characters>6256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2026-08-07T05:24:00Z</dcterms:created>
  <dcterms:modified xsi:type="dcterms:W3CDTF">2026-08-07T05:24:00Z</dcterms:modified>
</cp:coreProperties>
</file>