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30.03.2026 № 05-07/626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415F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годности на момент поставки товара должен оканчиваться не ранее 03.2027</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 </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392"/>
        <w:gridCol w:w="1995"/>
        <w:gridCol w:w="1127"/>
        <w:gridCol w:w="1850"/>
        <w:gridCol w:w="1501"/>
        <w:gridCol w:w="1819"/>
        <w:gridCol w:w="1314"/>
        <w:gridCol w:w="1511"/>
        <w:gridCol w:w="948"/>
        <w:gridCol w:w="1307"/>
        <w:gridCol w:w="697"/>
        <w:gridCol w:w="802"/>
        <w:gridCol w:w="686"/>
      </w:tblGrid>
      <w:tr w:rsidR="00D670FD" w:rsidRPr="00D670FD" w:rsidTr="00D670FD">
        <w:trPr>
          <w:trHeight w:val="1020"/>
        </w:trPr>
        <w:tc>
          <w:tcPr>
            <w:tcW w:w="1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пп</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Наименование товара, работы, услуги</w:t>
            </w:r>
          </w:p>
        </w:tc>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Код позиции</w:t>
            </w:r>
          </w:p>
        </w:tc>
        <w:tc>
          <w:tcPr>
            <w:tcW w:w="2046" w:type="pct"/>
            <w:gridSpan w:val="4"/>
            <w:tcBorders>
              <w:top w:val="single" w:sz="4" w:space="0" w:color="auto"/>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Характеристики товара, работы, услуги</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Количество(объем работы, услуги)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Единица измерения</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Страна происхождения Товара</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Ставка НДС%</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Цена за единицу без НДС</w:t>
            </w:r>
          </w:p>
        </w:tc>
        <w:tc>
          <w:tcPr>
            <w:tcW w:w="2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Сумма без НДС</w:t>
            </w:r>
          </w:p>
        </w:tc>
      </w:tr>
      <w:tr w:rsidR="00D670FD" w:rsidRPr="00D670FD" w:rsidTr="00D670FD">
        <w:trPr>
          <w:trHeight w:val="1020"/>
        </w:trPr>
        <w:tc>
          <w:tcPr>
            <w:tcW w:w="114" w:type="pct"/>
            <w:vMerge/>
            <w:tcBorders>
              <w:top w:val="single" w:sz="4" w:space="0" w:color="auto"/>
              <w:left w:val="single" w:sz="4" w:space="0" w:color="auto"/>
              <w:bottom w:val="single" w:sz="4" w:space="0" w:color="auto"/>
              <w:right w:val="single" w:sz="4" w:space="0" w:color="auto"/>
            </w:tcBorders>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p>
        </w:tc>
        <w:tc>
          <w:tcPr>
            <w:tcW w:w="58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Наименование характеристики</w:t>
            </w:r>
          </w:p>
        </w:tc>
        <w:tc>
          <w:tcPr>
            <w:tcW w:w="473"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Значение характеристики</w:t>
            </w:r>
          </w:p>
        </w:tc>
        <w:tc>
          <w:tcPr>
            <w:tcW w:w="57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Единица измерения характеристики</w:t>
            </w:r>
          </w:p>
        </w:tc>
        <w:tc>
          <w:tcPr>
            <w:tcW w:w="412"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476" w:type="pct"/>
            <w:vMerge/>
            <w:tcBorders>
              <w:top w:val="single" w:sz="4" w:space="0" w:color="auto"/>
              <w:left w:val="single" w:sz="4" w:space="0" w:color="auto"/>
              <w:bottom w:val="single" w:sz="4" w:space="0" w:color="auto"/>
              <w:right w:val="single" w:sz="4" w:space="0" w:color="auto"/>
            </w:tcBorders>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p>
        </w:tc>
        <w:tc>
          <w:tcPr>
            <w:tcW w:w="410"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p>
        </w:tc>
      </w:tr>
      <w:tr w:rsidR="00D670FD" w:rsidRPr="00D670FD" w:rsidTr="00D670FD">
        <w:trPr>
          <w:trHeight w:val="154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1</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Катетер трахеобронхиальный для аспирации/инсуффляции, однопросветный</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32.50.13.110-00005208**</w:t>
            </w:r>
          </w:p>
        </w:tc>
        <w:tc>
          <w:tcPr>
            <w:tcW w:w="58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Стерильная закрытая аспирационная система СН/Fr14 для трахеостомических, эндотрахеальных трубок (по заявке Заказчика).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200</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Штука</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Назначение: </w:t>
            </w:r>
            <w:r>
              <w:rPr>
                <w:rFonts w:ascii="Times New Roman" w:eastAsia="Times New Roman" w:hAnsi="Times New Roman" w:cs="Times New Roman"/>
                <w:sz w:val="20"/>
                <w:szCs w:val="20"/>
                <w:lang w:eastAsia="ru-RU"/>
              </w:rPr>
              <w:t>с</w:t>
            </w:r>
            <w:r w:rsidRPr="00D670FD">
              <w:rPr>
                <w:rFonts w:ascii="Times New Roman" w:eastAsia="Times New Roman" w:hAnsi="Times New Roman" w:cs="Times New Roman"/>
                <w:sz w:val="20"/>
                <w:szCs w:val="20"/>
                <w:lang w:eastAsia="ru-RU"/>
              </w:rPr>
              <w:t>анация ТБД</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lang w:eastAsia="ru-RU"/>
              </w:rPr>
            </w:pPr>
            <w:r w:rsidRPr="00D670FD">
              <w:rPr>
                <w:rFonts w:ascii="Calibri" w:eastAsia="Times New Roman" w:hAnsi="Calibri" w:cs="Times New Roman"/>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282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 метрической шкалы на аспирационном катетере. Шаг градуировки - 1см (Позволяет контролировать глубину введения катетера в интубационную трубку относительно градуировки, имеющейся на трубке)</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460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Катетер типа Мюлли: пара релизинговых отверстий на одинаковом расстоянии от дистального конца (Определенная форма катетера типа Мюлли (диаметр дистального отверстия меньше суммы диаметров пары релизинговых отверстий) обеспечивает санацию именно через отверстие на дистальном конце, а не через боковые. Катетер не заламывается, работает максимально эффективно)</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lang w:eastAsia="ru-RU"/>
              </w:rPr>
            </w:pPr>
            <w:r w:rsidRPr="00D670FD">
              <w:rPr>
                <w:rFonts w:ascii="Calibri" w:eastAsia="Times New Roman" w:hAnsi="Calibri" w:cs="Times New Roman"/>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256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Жесткость аспирационного катетера по Шору  (Данный показатель важен. Слишком мягкий катетер плохо проходит через интубационную трубку, слишком жесткий может повредить слизистую дыхательных путей)</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lang w:eastAsia="ru-RU"/>
              </w:rPr>
            </w:pPr>
            <w:r w:rsidRPr="00D670FD">
              <w:rPr>
                <w:rFonts w:ascii="Calibri" w:eastAsia="Times New Roman" w:hAnsi="Calibri" w:cs="Times New Roman"/>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29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 прозрачного полиэтиленового рукава на катетере (Обеспечивает замкнутость (закрытость) системы)</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lang w:eastAsia="ru-RU"/>
              </w:rPr>
            </w:pPr>
            <w:r w:rsidRPr="00D670FD">
              <w:rPr>
                <w:rFonts w:ascii="Calibri" w:eastAsia="Times New Roman" w:hAnsi="Calibri" w:cs="Times New Roman"/>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80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Цветомаркированные коннекторы (Позволяют легко и быстро подобрать аспирационную систему подходящего интубационной трубке размера)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lang w:eastAsia="ru-RU"/>
              </w:rPr>
            </w:pPr>
            <w:r w:rsidRPr="00D670FD">
              <w:rPr>
                <w:rFonts w:ascii="Calibri" w:eastAsia="Times New Roman" w:hAnsi="Calibri" w:cs="Times New Roman"/>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231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 разъединяющего кольца (Способствует плавному и бережному отсоединению интубационной трубки от системы с целью минимизации риска смещения интубационной трубки)</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lang w:eastAsia="ru-RU"/>
              </w:rPr>
            </w:pPr>
            <w:r w:rsidRPr="00D670FD">
              <w:rPr>
                <w:rFonts w:ascii="Calibri" w:eastAsia="Times New Roman" w:hAnsi="Calibri" w:cs="Times New Roman"/>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282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В блок управления вакуумом встроен пятимикронный антибактериальный гидрофобный фильтр  (для очистки воздуха, выходящего из системы и входящего в нее при выравнивании давления после применения вакуумной системы)</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lang w:eastAsia="ru-RU"/>
              </w:rPr>
            </w:pPr>
            <w:r w:rsidRPr="00D670FD">
              <w:rPr>
                <w:rFonts w:ascii="Calibri" w:eastAsia="Times New Roman" w:hAnsi="Calibri" w:cs="Times New Roman"/>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54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Кнопка на блоке управления вакуумом (Упрощает процесс санации, делает его контролируемым, высокоэффективным)</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lang w:eastAsia="ru-RU"/>
              </w:rPr>
            </w:pPr>
            <w:r w:rsidRPr="00D670FD">
              <w:rPr>
                <w:rFonts w:ascii="Calibri" w:eastAsia="Times New Roman" w:hAnsi="Calibri" w:cs="Times New Roman"/>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29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Защитная крышка на блоке управления вакуумом (Предохраняет от несанкционированная нажатия)</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lang w:eastAsia="ru-RU"/>
              </w:rPr>
            </w:pPr>
            <w:r w:rsidRPr="00D670FD">
              <w:rPr>
                <w:rFonts w:ascii="Calibri" w:eastAsia="Times New Roman" w:hAnsi="Calibri" w:cs="Times New Roman"/>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231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Длительность установки системы (Оптимально для отделений ОРИТ. При более длительной установке катетер может облитерировать, а также систему колонизируют патогенные микроорганизмы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Calibri" w:eastAsia="Times New Roman" w:hAnsi="Calibri" w:cs="Times New Roman"/>
                <w:lang w:eastAsia="ru-RU"/>
              </w:rPr>
              <w:t>≥ 24 и ≤ 48</w:t>
            </w:r>
          </w:p>
        </w:tc>
        <w:tc>
          <w:tcPr>
            <w:tcW w:w="5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lang w:eastAsia="ru-RU"/>
              </w:rPr>
            </w:pPr>
            <w:r w:rsidRPr="00D670FD">
              <w:rPr>
                <w:rFonts w:ascii="Calibri" w:eastAsia="Times New Roman" w:hAnsi="Calibri" w:cs="Times New Roman"/>
                <w:lang w:eastAsia="ru-RU"/>
              </w:rPr>
              <w:t>Час</w:t>
            </w:r>
          </w:p>
        </w:tc>
        <w:tc>
          <w:tcPr>
            <w:tcW w:w="412"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B0F0"/>
                <w:sz w:val="20"/>
                <w:szCs w:val="20"/>
                <w:lang w:eastAsia="ru-RU"/>
              </w:rPr>
            </w:pPr>
            <w:r w:rsidRPr="00D670FD">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54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Промывочный порт находится на удалении от системы. (что обеспечивает безопасность при работе с системой)</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lang w:eastAsia="ru-RU"/>
              </w:rPr>
            </w:pPr>
            <w:r w:rsidRPr="00D670FD">
              <w:rPr>
                <w:rFonts w:ascii="Calibri" w:eastAsia="Times New Roman" w:hAnsi="Calibri" w:cs="Times New Roman"/>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54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 зафиксированной крышки на промывочном порте (зафиксированную крышку невозможно потерять)</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lang w:eastAsia="ru-RU"/>
              </w:rPr>
            </w:pPr>
            <w:r w:rsidRPr="00D670FD">
              <w:rPr>
                <w:rFonts w:ascii="Calibri" w:eastAsia="Times New Roman" w:hAnsi="Calibri" w:cs="Times New Roman"/>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205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Коннектор источника вакуума с кольцами в виде конуса (Возможно соединить с источником вакуума, имеющим коннекторы различного диаметра (универсальный коннектор))</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lang w:eastAsia="ru-RU"/>
              </w:rPr>
            </w:pPr>
            <w:r w:rsidRPr="00D670FD">
              <w:rPr>
                <w:rFonts w:ascii="Calibri" w:eastAsia="Times New Roman" w:hAnsi="Calibri" w:cs="Times New Roman"/>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800"/>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Гофрированный переходник 15мм/22мм для дыхательного контура (Дает возможность подсоединять дыхательные контуры для взрослых)</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lang w:eastAsia="ru-RU"/>
              </w:rPr>
            </w:pPr>
            <w:r w:rsidRPr="00D670FD">
              <w:rPr>
                <w:rFonts w:ascii="Calibri" w:eastAsia="Times New Roman" w:hAnsi="Calibri" w:cs="Times New Roman"/>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2</w:t>
            </w:r>
          </w:p>
        </w:tc>
        <w:tc>
          <w:tcPr>
            <w:tcW w:w="633"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Зонд</w:t>
            </w:r>
          </w:p>
        </w:tc>
        <w:tc>
          <w:tcPr>
            <w:tcW w:w="352"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32.50.13.110-00005644*</w:t>
            </w:r>
          </w:p>
        </w:tc>
        <w:tc>
          <w:tcPr>
            <w:tcW w:w="58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Длина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1100</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Миллиметр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150</w:t>
            </w:r>
          </w:p>
        </w:tc>
        <w:tc>
          <w:tcPr>
            <w:tcW w:w="294"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штука</w:t>
            </w:r>
          </w:p>
        </w:tc>
        <w:tc>
          <w:tcPr>
            <w:tcW w:w="410"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Количество каналов</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Одноканальный</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Материал</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Поливинилхлорид</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Назначение</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Питательный</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Наружный диаметр</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4.6  и  ≤ 4.7</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Миллиметр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305496"/>
                <w:sz w:val="20"/>
                <w:szCs w:val="20"/>
                <w:lang w:eastAsia="ru-RU"/>
              </w:rPr>
            </w:pPr>
            <w:r w:rsidRPr="00D670FD">
              <w:rPr>
                <w:rFonts w:ascii="Times New Roman" w:eastAsia="Times New Roman" w:hAnsi="Times New Roman" w:cs="Times New Roman"/>
                <w:color w:val="305496"/>
                <w:sz w:val="20"/>
                <w:szCs w:val="20"/>
                <w:lang w:eastAsia="ru-RU"/>
              </w:rPr>
              <w:t>Участник закупки указывает в заявке конкретное значение характеристики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800"/>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Жесткость по Шору А78 (позволяет сохранять эластичность не травмируя слизистые оболочки, и обеспечивает оптимально удобную постановку зонда).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256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Цветные воронкообразные коннекторы, соответствующие международной размерной шкале, совместимые со всеми стандартными адаптерами (позволяют быстро определить диаметр)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54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2 дренажных отверстия, просвет не перекрывается при скручивании (обеспечивают эффективный пассаж жидкости).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290"/>
        </w:trPr>
        <w:tc>
          <w:tcPr>
            <w:tcW w:w="114"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Метрическая шкала, начинающаяся с отметки 5см от дистального конца каждый см по всей длине (контроль введения зонда)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3</w:t>
            </w:r>
          </w:p>
        </w:tc>
        <w:tc>
          <w:tcPr>
            <w:tcW w:w="633"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xml:space="preserve">Зонд </w:t>
            </w:r>
          </w:p>
        </w:tc>
        <w:tc>
          <w:tcPr>
            <w:tcW w:w="352"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32.50.13.110-00005656*</w:t>
            </w:r>
          </w:p>
        </w:tc>
        <w:tc>
          <w:tcPr>
            <w:tcW w:w="58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Длина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1100</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Миллиметр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400</w:t>
            </w:r>
          </w:p>
        </w:tc>
        <w:tc>
          <w:tcPr>
            <w:tcW w:w="294"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штука</w:t>
            </w:r>
          </w:p>
        </w:tc>
        <w:tc>
          <w:tcPr>
            <w:tcW w:w="410"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Количество каналов</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Одноканальный</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Материал</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Поливинилхлорид</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Назначение</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Питательный</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Наружный диаметр</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6</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Миллиметр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800"/>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Жесткость по Шору А78 (позволяет сохранять эластичность не травмируя слизистые оболочки, и обеспечивает оптимально удобную постановку зонда).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256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Цветные воронкообразные коннекторы, соответствующие международной размерной шкале, совместимые со всеми стандартными адаптерами (позволяют быстро определить диаметр)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54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2 дренажных отверстия, просвет не перекрывается при скручивании (обеспечивают эффективный пассаж жидкости).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290"/>
        </w:trPr>
        <w:tc>
          <w:tcPr>
            <w:tcW w:w="114"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Метрическая шкала, начинающаяся с отметки 5см от дистального конца каждый см по всей длине (контроль введения зонда)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4</w:t>
            </w:r>
          </w:p>
        </w:tc>
        <w:tc>
          <w:tcPr>
            <w:tcW w:w="633"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Зонд</w:t>
            </w:r>
          </w:p>
        </w:tc>
        <w:tc>
          <w:tcPr>
            <w:tcW w:w="352"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32.50.13.110</w:t>
            </w:r>
          </w:p>
        </w:tc>
        <w:tc>
          <w:tcPr>
            <w:tcW w:w="58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Длина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1200</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Миллиметр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6</w:t>
            </w:r>
          </w:p>
        </w:tc>
        <w:tc>
          <w:tcPr>
            <w:tcW w:w="294"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штука</w:t>
            </w:r>
          </w:p>
        </w:tc>
        <w:tc>
          <w:tcPr>
            <w:tcW w:w="410"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Количество каналов: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Одноканальный</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Материал: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Полиуретан</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Назначение</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Питательный</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Наружный диаметр</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3,6</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Миллиметр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Рентгеноконтрастность</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Да</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358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Гибкая полиуретановая олива с утяжеленным вольфрамовым концом (3 г) с двумя боковыми отверстиями (Позволяет произвести установку зонда без эндоскопического пособия, обеспечивает внутрикишечное расположение, контроль за положением зонда и снижает риск развития демпинг-синдрома.)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80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Просвет не перекрывается при скручивании (Гарантирует непрерывное поступление смеси с заданной скоростью и декомпрессию желудка.)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231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Рентгенконтрастная полоса, нестираемые метки длины с интервалом 10 см (Позволяют определить положение зонда и обеспечивают визуальный контроль глубины введения.)</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205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Полый стилет из нержавеющей стали с разъемом Люэр лок (Позволяет произвести аспирацию кишечного содержимого для контроля постановки зонда.)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29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Стилет обработан силиконовой смазкой (Обеспечивает легкое удаление стилета после установки зонда.)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409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Двойная крышка, состоящая из перфорированной части с возможностью подсоединения шприца Люэр и крышки, герметично закрывающей систему (Снижает риск инфицирования пациента при паузах во введении питания и позволяет вводить лекарственные средства не открывая зонда. Обеспечивает соединение со шприцами с разъемом Люэр.)</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256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Универсальный конусовидный коннектор с интегрированным шприцевым адаптером (Обеспечивает соединение с устройствами для энтерального питания с конусным коннектором и разъемом Люэр лок.)</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80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В комплект входит Люэр лок адаптер (Обеспечивает соединение с устройствами для энтерального питания с разъемом Люэр.)</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Внутренний диаметр 2,8 мм (Позволяет вводить питание с необходимой для пациента скоростью.)</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80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Предназначен для длительного использования. (Обеспечивает снижение количества манипуляций и экономию бюджетных средств)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Максимальный срок использования</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Calibri" w:eastAsia="Times New Roman" w:hAnsi="Calibri" w:cs="Times New Roman"/>
                <w:lang w:eastAsia="ru-RU"/>
              </w:rPr>
              <w:t xml:space="preserve">≥30 </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Сутки</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B0F0"/>
                <w:sz w:val="20"/>
                <w:szCs w:val="20"/>
                <w:lang w:eastAsia="ru-RU"/>
              </w:rPr>
            </w:pPr>
            <w:r w:rsidRPr="00D670FD">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20"/>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5</w:t>
            </w:r>
          </w:p>
        </w:tc>
        <w:tc>
          <w:tcPr>
            <w:tcW w:w="633"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Зонд</w:t>
            </w:r>
          </w:p>
        </w:tc>
        <w:tc>
          <w:tcPr>
            <w:tcW w:w="352"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32.50.13.110</w:t>
            </w:r>
          </w:p>
        </w:tc>
        <w:tc>
          <w:tcPr>
            <w:tcW w:w="58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Длина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1200</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Миллиметр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6</w:t>
            </w:r>
          </w:p>
        </w:tc>
        <w:tc>
          <w:tcPr>
            <w:tcW w:w="294"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штука</w:t>
            </w:r>
          </w:p>
        </w:tc>
        <w:tc>
          <w:tcPr>
            <w:tcW w:w="410"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Количество каналов: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Одноканальный</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Материал: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Полиуретан</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Назначение</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Питательный</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Наружный диаметр</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2,8</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Миллиметр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Рентгеноконтрастность</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Да</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358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Гибкая полиуретановая олива с утяжеленным вольфрамовым концом (3 г) с двумя боковыми отверстиями (Позволяет произвести установку зонда без эндоскопического пособия, обеспечивает внутрикишечное расположение, контроль за положением зонда и снижает риск развития демпинг-синдрома.)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80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Просвет не перекрывается при скручивании (Гарантирует непрерывное поступление смеси с заданной скоростью и декомпрессию желудка.)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231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Рентгенконтрастная полоса, нестираемые метки длины с интервалом 10 см (Позволяют определить положение зонда и обеспечивают визуальный контроль глубины введения.)</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205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Полый стилет из нержавеющей стали с разъемом Люэр лок (Позволяет произвести аспирацию кишечного содержимого для контроля постановки зонда.)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29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Стилет обработан силиконовой смазкой (Обеспечивает легкое удаление стилета после установки зонда.)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409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Двойная крышка, состоящая из перфорированной части с возможностью подсоединения шприца Люэр и крышки, герметично закрывающей систему (Снижает риск инфицирования пациента при паузах во введении питания и позволяет вводить лекарственные средства не открывая зонда. Обеспечивает соединение со шприцами с разъемом Люэр.)</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256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Универсальный конусовидный коннектор с интегрированным шприцевым адаптером (Обеспечивает соединение с устройствами для энтерального питания с конусным коннектором и разъемом Люэр лок.)</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80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В комплект входит Люэр лок адаптер (Обеспечивает соединение с устройствами для энтерального питания с разъемом Люэр.)</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Внутренний диаметр  1,9мм (Позволяет вводить питание с необходимой для пациента скоростью.)</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80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Предназначен для длительного использования. (Обеспечивает снижение количества манипуляций и экономию бюджетных средств)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Максимальный срок использования</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Calibri" w:eastAsia="Times New Roman" w:hAnsi="Calibri" w:cs="Times New Roman"/>
                <w:lang w:eastAsia="ru-RU"/>
              </w:rPr>
              <w:t xml:space="preserve">≥30 </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Сутки</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B0F0"/>
                <w:sz w:val="20"/>
                <w:szCs w:val="20"/>
                <w:lang w:eastAsia="ru-RU"/>
              </w:rPr>
            </w:pPr>
            <w:r w:rsidRPr="00D670FD">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545"/>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6</w:t>
            </w:r>
          </w:p>
        </w:tc>
        <w:tc>
          <w:tcPr>
            <w:tcW w:w="633"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Набор для сбора образцов отделяемого ротоглотки</w:t>
            </w:r>
          </w:p>
        </w:tc>
        <w:tc>
          <w:tcPr>
            <w:tcW w:w="352"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32.50.13.190</w:t>
            </w:r>
          </w:p>
        </w:tc>
        <w:tc>
          <w:tcPr>
            <w:tcW w:w="58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Стерильное устройство для отбора проб отделяемого из просвета ТБД и надманжеточного пространства у пациентов на ИВЛ.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Значение характеристики не может изменяться участником закупки</w:t>
            </w:r>
          </w:p>
        </w:tc>
        <w:tc>
          <w:tcPr>
            <w:tcW w:w="476"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500</w:t>
            </w:r>
          </w:p>
        </w:tc>
        <w:tc>
          <w:tcPr>
            <w:tcW w:w="294"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штука</w:t>
            </w:r>
          </w:p>
        </w:tc>
        <w:tc>
          <w:tcPr>
            <w:tcW w:w="410"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54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Контейнер с прозрачной емкостью  с коническим дном и накручивающейся цветной крышкой с вертикальными насечками.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Объем емкости контейнера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Calibri" w:eastAsia="Times New Roman" w:hAnsi="Calibri" w:cs="Times New Roman"/>
                <w:sz w:val="20"/>
                <w:szCs w:val="20"/>
                <w:lang w:eastAsia="ru-RU"/>
              </w:rPr>
            </w:pPr>
            <w:r w:rsidRPr="00D670FD">
              <w:rPr>
                <w:rFonts w:ascii="Calibri" w:eastAsia="Times New Roman" w:hAnsi="Calibri" w:cs="Times New Roman"/>
                <w:sz w:val="20"/>
                <w:szCs w:val="20"/>
                <w:lang w:eastAsia="ru-RU"/>
              </w:rPr>
              <w:t>≥ 10 и ≤ 15</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Кубический сантиметр; миллилитр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B0F0"/>
                <w:sz w:val="20"/>
                <w:szCs w:val="20"/>
                <w:lang w:eastAsia="ru-RU"/>
              </w:rPr>
            </w:pPr>
            <w:r w:rsidRPr="00D670FD">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29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На поверхности крышки 2 коннектора на  трубках: входной охватывающий воронкообразный и штырьковый.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Длина трубок</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Calibri" w:eastAsia="Times New Roman" w:hAnsi="Calibri" w:cs="Times New Roman"/>
                <w:sz w:val="20"/>
                <w:szCs w:val="20"/>
                <w:lang w:eastAsia="ru-RU"/>
              </w:rPr>
            </w:pPr>
            <w:r w:rsidRPr="00D670FD">
              <w:rPr>
                <w:rFonts w:ascii="Calibri" w:eastAsia="Times New Roman" w:hAnsi="Calibri" w:cs="Times New Roman"/>
                <w:sz w:val="20"/>
                <w:szCs w:val="20"/>
                <w:lang w:eastAsia="ru-RU"/>
              </w:rPr>
              <w:t>≥ 60 и ≤ 65</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Миллиметр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B0F0"/>
                <w:sz w:val="20"/>
                <w:szCs w:val="20"/>
                <w:lang w:eastAsia="ru-RU"/>
              </w:rPr>
            </w:pPr>
            <w:r w:rsidRPr="00D670FD">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54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Штырьковый коннектор входного порта имеет вид усеченного конуса с наружными концентрическими выступами типа "елочка".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231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Охватывающий воронкообразный коннектор переходит в удлиненный и устойчивый к перегибанию пластиковый сегмент, погруженный в контейнер.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Длина сегмента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Calibri" w:eastAsia="Times New Roman" w:hAnsi="Calibri" w:cs="Times New Roman"/>
                <w:sz w:val="20"/>
                <w:szCs w:val="20"/>
                <w:lang w:eastAsia="ru-RU"/>
              </w:rPr>
              <w:t>≥ 40 и ≤</w:t>
            </w:r>
            <w:r w:rsidRPr="00D670FD">
              <w:rPr>
                <w:rFonts w:ascii="Times New Roman" w:eastAsia="Times New Roman" w:hAnsi="Times New Roman" w:cs="Times New Roman"/>
                <w:sz w:val="20"/>
                <w:szCs w:val="20"/>
                <w:lang w:eastAsia="ru-RU"/>
              </w:rPr>
              <w:t xml:space="preserve"> 45</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Миллиметр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B0F0"/>
                <w:sz w:val="20"/>
                <w:szCs w:val="20"/>
                <w:lang w:eastAsia="ru-RU"/>
              </w:rPr>
            </w:pPr>
            <w:r w:rsidRPr="00D670FD">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 самоклеящейся этикетки для маркировки даты забора пробы и ФИО пациента.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nil"/>
            </w:tcBorders>
            <w:shd w:val="clear" w:color="auto" w:fill="auto"/>
            <w:noWrap/>
            <w:vAlign w:val="bottom"/>
            <w:hideMark/>
          </w:tcPr>
          <w:p w:rsidR="00D670FD" w:rsidRPr="00D670FD" w:rsidRDefault="00D670FD" w:rsidP="00D670FD">
            <w:pPr>
              <w:spacing w:after="0" w:line="240" w:lineRule="auto"/>
              <w:jc w:val="right"/>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7</w:t>
            </w:r>
          </w:p>
        </w:tc>
        <w:tc>
          <w:tcPr>
            <w:tcW w:w="633" w:type="pct"/>
            <w:tcBorders>
              <w:top w:val="single" w:sz="4" w:space="0" w:color="auto"/>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Катетер уретральный для однократного дренирования</w:t>
            </w:r>
          </w:p>
        </w:tc>
        <w:tc>
          <w:tcPr>
            <w:tcW w:w="352"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32.50.13.190-00006894**</w:t>
            </w:r>
          </w:p>
        </w:tc>
        <w:tc>
          <w:tcPr>
            <w:tcW w:w="58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Возможность применения самим пациентом</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Нет</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840</w:t>
            </w:r>
          </w:p>
        </w:tc>
        <w:tc>
          <w:tcPr>
            <w:tcW w:w="294"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штука</w:t>
            </w:r>
          </w:p>
        </w:tc>
        <w:tc>
          <w:tcPr>
            <w:tcW w:w="410"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nil"/>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Возможность промывания</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Нет</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nil"/>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Диаметр катетера: Ch14-18 (по заявке Заказчика)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nil"/>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Длина катетера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18  и  ≤ 22</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Сантиметр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305496"/>
                <w:sz w:val="20"/>
                <w:szCs w:val="20"/>
                <w:lang w:eastAsia="ru-RU"/>
              </w:rPr>
            </w:pPr>
            <w:r w:rsidRPr="00D670FD">
              <w:rPr>
                <w:rFonts w:ascii="Times New Roman" w:eastAsia="Times New Roman" w:hAnsi="Times New Roman" w:cs="Times New Roman"/>
                <w:color w:val="305496"/>
                <w:sz w:val="20"/>
                <w:szCs w:val="20"/>
                <w:lang w:eastAsia="ru-RU"/>
              </w:rPr>
              <w:t>Участник закупки указывает в заявке конкретное значение характеристики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2820"/>
        </w:trPr>
        <w:tc>
          <w:tcPr>
            <w:tcW w:w="114" w:type="pct"/>
            <w:tcBorders>
              <w:top w:val="nil"/>
              <w:left w:val="single" w:sz="4" w:space="0" w:color="auto"/>
              <w:bottom w:val="nil"/>
              <w:right w:val="nil"/>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Катетер Нелатона с рентгеноконтрастной полосой предназначен для одноразовой катетеризации мочевого пузыря, а также может использоваться у больных с абструктивной патологией мочеиспускательного канала.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3075"/>
        </w:trPr>
        <w:tc>
          <w:tcPr>
            <w:tcW w:w="114" w:type="pct"/>
            <w:tcBorders>
              <w:top w:val="nil"/>
              <w:left w:val="single" w:sz="4" w:space="0" w:color="auto"/>
              <w:bottom w:val="nil"/>
              <w:right w:val="nil"/>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Изготовлено из прозрачного термопластичного нетоксичного поливинилхлорида. Термопластичный материал смягчается при температуре тела, принимает форму, комфортную для безболезненной катетеризации канала.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3330"/>
        </w:trPr>
        <w:tc>
          <w:tcPr>
            <w:tcW w:w="114" w:type="pct"/>
            <w:tcBorders>
              <w:top w:val="nil"/>
              <w:left w:val="single" w:sz="4" w:space="0" w:color="auto"/>
              <w:bottom w:val="nil"/>
              <w:right w:val="nil"/>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Поверхность катетера, не требующая применения смазки, закрытый закругленный дистальный конец, 2 гладких, боковых отверстия большого диаметра, находящихся один ниже другого, обеспечивают максимальную защиту нежной слизистой уретры и атравматичную катетеризацию.</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290"/>
        </w:trPr>
        <w:tc>
          <w:tcPr>
            <w:tcW w:w="114" w:type="pct"/>
            <w:tcBorders>
              <w:top w:val="nil"/>
              <w:left w:val="single" w:sz="4" w:space="0" w:color="auto"/>
              <w:bottom w:val="nil"/>
              <w:right w:val="nil"/>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Прозрачная поверхность катетера обеспечивает визуальный контроль процедуры дренирования мочевого пузыря.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nil"/>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Катетер оснащён рентгеноконтрастной линией по всей длине.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nil"/>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Коннектор подходит к мочеприемнику любого типа.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single" w:sz="4" w:space="0" w:color="auto"/>
              <w:right w:val="nil"/>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Стерильно</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8</w:t>
            </w:r>
          </w:p>
        </w:tc>
        <w:tc>
          <w:tcPr>
            <w:tcW w:w="633"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Катетер уретральный для однократного дренирования</w:t>
            </w:r>
          </w:p>
        </w:tc>
        <w:tc>
          <w:tcPr>
            <w:tcW w:w="352"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32.50.13.190-00006894**</w:t>
            </w:r>
          </w:p>
        </w:tc>
        <w:tc>
          <w:tcPr>
            <w:tcW w:w="58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Возможность применения самим пациентом</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Нет</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260</w:t>
            </w:r>
          </w:p>
        </w:tc>
        <w:tc>
          <w:tcPr>
            <w:tcW w:w="294"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штука</w:t>
            </w:r>
          </w:p>
        </w:tc>
        <w:tc>
          <w:tcPr>
            <w:tcW w:w="410"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Возможность промывания</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Нет</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Диаметр катетера: Ch12-20 (по заявке Заказчика)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Длина катетера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36 и ≤ 40</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Сантиметр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305496"/>
                <w:sz w:val="20"/>
                <w:szCs w:val="20"/>
                <w:lang w:eastAsia="ru-RU"/>
              </w:rPr>
            </w:pPr>
            <w:r w:rsidRPr="00D670FD">
              <w:rPr>
                <w:rFonts w:ascii="Times New Roman" w:eastAsia="Times New Roman" w:hAnsi="Times New Roman" w:cs="Times New Roman"/>
                <w:color w:val="305496"/>
                <w:sz w:val="20"/>
                <w:szCs w:val="20"/>
                <w:lang w:eastAsia="ru-RU"/>
              </w:rPr>
              <w:t>Участник закупки указывает в заявке конкретное значение характеристики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2820"/>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Катетер Нелатона с рентгеноконтрастной полосой предназначен для одноразовой катетеризации мочевого пузыря, а также может использоваться у больных с абструктивной патологией мочеиспускательного канала.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307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Изготовлено из прозрачного термопластичного нетоксичного поливинилхлорида. Термопластичный материал смягчается при температуре тела, принимает форму, комфортную для безболезненной катетеризации канала.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3330"/>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Поверхность катетера, не требующая применения смазки, закрытый закругленный дистальный конец, 2 гладких, боковых отверстия большого диаметра, находящихся один ниже другого, обеспечивают максимальную защиту нежной слизистой уретры и атравматичную катетеризацию.</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290"/>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Прозрачная поверхность катетера обеспечивает визуальный контроль процедуры дренирования мочевого пузыря.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Катетер оснащён рентгеноконтрастной линией по всей длине.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Коннектор подходит к мочеприемнику любого типа.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Стерильно</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545"/>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9</w:t>
            </w:r>
          </w:p>
        </w:tc>
        <w:tc>
          <w:tcPr>
            <w:tcW w:w="633"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Клинок для ларингоскопа, одноразового использования</w:t>
            </w:r>
          </w:p>
        </w:tc>
        <w:tc>
          <w:tcPr>
            <w:tcW w:w="352"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32.50.13.190-00007686**</w:t>
            </w:r>
          </w:p>
        </w:tc>
        <w:tc>
          <w:tcPr>
            <w:tcW w:w="586"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Отвечает требованием стандарта DIN ISO 7376, что подтверждается маркировкой на клинке (в целях взаимозаменямости комплектующих)</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500</w:t>
            </w:r>
          </w:p>
        </w:tc>
        <w:tc>
          <w:tcPr>
            <w:tcW w:w="294"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штука</w:t>
            </w:r>
          </w:p>
        </w:tc>
        <w:tc>
          <w:tcPr>
            <w:tcW w:w="410"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single" w:sz="4" w:space="0" w:color="auto"/>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Тип Макинтош, изогнутый (Обусловлен анатомией строения гортани человека)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54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single" w:sz="4" w:space="0" w:color="auto"/>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Материал изготовления – матовая полированная нержавеющая сталь (для предотвращения отражения светового потока)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single" w:sz="4" w:space="0" w:color="auto"/>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Фиброоптический световод (Обеспечивает освещение рабочего поля)</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54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single" w:sz="4" w:space="0" w:color="auto"/>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 пластиковом креплении нанесена маркировка типа и условного размера клинка. (Обеспечивает четкую идентификацию)</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Размеры 3 и 4 (по заявке заказчика).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20"/>
        </w:trPr>
        <w:tc>
          <w:tcPr>
            <w:tcW w:w="114" w:type="pct"/>
            <w:tcBorders>
              <w:top w:val="single" w:sz="4" w:space="0" w:color="auto"/>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10</w:t>
            </w:r>
          </w:p>
        </w:tc>
        <w:tc>
          <w:tcPr>
            <w:tcW w:w="633"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Комплект изделий для системы ингаляционной терапии, одноразового использования</w:t>
            </w:r>
          </w:p>
        </w:tc>
        <w:tc>
          <w:tcPr>
            <w:tcW w:w="352"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32.50.13.190</w:t>
            </w:r>
          </w:p>
        </w:tc>
        <w:tc>
          <w:tcPr>
            <w:tcW w:w="58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Устройство для аэрозольной терапии - небулайзер (распылитель). </w:t>
            </w:r>
          </w:p>
        </w:tc>
        <w:tc>
          <w:tcPr>
            <w:tcW w:w="473"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Наличие </w:t>
            </w:r>
          </w:p>
        </w:tc>
        <w:tc>
          <w:tcPr>
            <w:tcW w:w="57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 </w:t>
            </w:r>
          </w:p>
        </w:tc>
        <w:tc>
          <w:tcPr>
            <w:tcW w:w="412"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6" w:type="pct"/>
            <w:tcBorders>
              <w:top w:val="single" w:sz="4" w:space="0" w:color="auto"/>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450</w:t>
            </w:r>
          </w:p>
        </w:tc>
        <w:tc>
          <w:tcPr>
            <w:tcW w:w="294" w:type="pct"/>
            <w:tcBorders>
              <w:top w:val="single" w:sz="4" w:space="0" w:color="auto"/>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штука</w:t>
            </w:r>
          </w:p>
        </w:tc>
        <w:tc>
          <w:tcPr>
            <w:tcW w:w="410" w:type="pct"/>
            <w:tcBorders>
              <w:top w:val="single" w:sz="4" w:space="0" w:color="auto"/>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single" w:sz="4" w:space="0" w:color="auto"/>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single" w:sz="4" w:space="0" w:color="auto"/>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255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Представляет собой прозрачную (для визуального контроля количества препарата и эффективности образования его аэрозольной формы) емкость с накручивающейся крышкой. </w:t>
            </w:r>
          </w:p>
        </w:tc>
        <w:tc>
          <w:tcPr>
            <w:tcW w:w="473"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Наличие </w:t>
            </w:r>
          </w:p>
        </w:tc>
        <w:tc>
          <w:tcPr>
            <w:tcW w:w="57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 </w:t>
            </w:r>
          </w:p>
        </w:tc>
        <w:tc>
          <w:tcPr>
            <w:tcW w:w="412"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2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Объем емкости</w:t>
            </w:r>
          </w:p>
        </w:tc>
        <w:tc>
          <w:tcPr>
            <w:tcW w:w="473"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5</w:t>
            </w:r>
          </w:p>
        </w:tc>
        <w:tc>
          <w:tcPr>
            <w:tcW w:w="57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Кубический сантиметр;^миллилитр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70C0"/>
                <w:sz w:val="20"/>
                <w:szCs w:val="20"/>
                <w:lang w:eastAsia="ru-RU"/>
              </w:rPr>
            </w:pPr>
            <w:r w:rsidRPr="00D670FD">
              <w:rPr>
                <w:rFonts w:ascii="Times New Roman" w:eastAsia="Times New Roman" w:hAnsi="Times New Roman" w:cs="Times New Roman"/>
                <w:color w:val="0070C0"/>
                <w:sz w:val="20"/>
                <w:szCs w:val="20"/>
                <w:lang w:eastAsia="ru-RU"/>
              </w:rPr>
              <w:t xml:space="preserve"> Участник закупки указывает в заявке конкретное  значение характеристики </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2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Не содержит в составе латекса и фталатов. </w:t>
            </w:r>
          </w:p>
        </w:tc>
        <w:tc>
          <w:tcPr>
            <w:tcW w:w="473"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Наличие </w:t>
            </w:r>
          </w:p>
        </w:tc>
        <w:tc>
          <w:tcPr>
            <w:tcW w:w="57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 </w:t>
            </w:r>
          </w:p>
        </w:tc>
        <w:tc>
          <w:tcPr>
            <w:tcW w:w="412"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53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Коннектор малого диаметра для присоединения кислородной трубки со стандартным коннектором. </w:t>
            </w:r>
          </w:p>
        </w:tc>
        <w:tc>
          <w:tcPr>
            <w:tcW w:w="473"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Наличие </w:t>
            </w:r>
          </w:p>
        </w:tc>
        <w:tc>
          <w:tcPr>
            <w:tcW w:w="57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 </w:t>
            </w:r>
          </w:p>
        </w:tc>
        <w:tc>
          <w:tcPr>
            <w:tcW w:w="412"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229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В верхней части расположен стандартный 22мм коннектор для присоединения аэрозольной маски и иных устройств для проведения аэрозольной терапии (Т-образный соединитель, загубник)</w:t>
            </w:r>
          </w:p>
        </w:tc>
        <w:tc>
          <w:tcPr>
            <w:tcW w:w="473"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Наличие </w:t>
            </w:r>
          </w:p>
        </w:tc>
        <w:tc>
          <w:tcPr>
            <w:tcW w:w="57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 </w:t>
            </w:r>
          </w:p>
        </w:tc>
        <w:tc>
          <w:tcPr>
            <w:tcW w:w="412"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2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Возможные положения - вертикальное, под углом 45°</w:t>
            </w:r>
          </w:p>
        </w:tc>
        <w:tc>
          <w:tcPr>
            <w:tcW w:w="473"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Наличие </w:t>
            </w:r>
          </w:p>
        </w:tc>
        <w:tc>
          <w:tcPr>
            <w:tcW w:w="57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 </w:t>
            </w:r>
          </w:p>
        </w:tc>
        <w:tc>
          <w:tcPr>
            <w:tcW w:w="412"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78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Кислородная трубка из ПВХ, с несминаемым просветом и универсальным коннектором для подсоединения к источнику кислорода. </w:t>
            </w:r>
          </w:p>
        </w:tc>
        <w:tc>
          <w:tcPr>
            <w:tcW w:w="473"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Наличие </w:t>
            </w:r>
          </w:p>
        </w:tc>
        <w:tc>
          <w:tcPr>
            <w:tcW w:w="57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 </w:t>
            </w:r>
          </w:p>
        </w:tc>
        <w:tc>
          <w:tcPr>
            <w:tcW w:w="412"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2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Длина кислородной трубки</w:t>
            </w:r>
          </w:p>
        </w:tc>
        <w:tc>
          <w:tcPr>
            <w:tcW w:w="473"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≥2,1</w:t>
            </w:r>
          </w:p>
        </w:tc>
        <w:tc>
          <w:tcPr>
            <w:tcW w:w="57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Метр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70C0"/>
                <w:sz w:val="20"/>
                <w:szCs w:val="20"/>
                <w:lang w:eastAsia="ru-RU"/>
              </w:rPr>
            </w:pPr>
            <w:r w:rsidRPr="00D670FD">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2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Загубник из полиэтилена высокой плотности</w:t>
            </w:r>
          </w:p>
        </w:tc>
        <w:tc>
          <w:tcPr>
            <w:tcW w:w="473"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Наличие </w:t>
            </w:r>
          </w:p>
        </w:tc>
        <w:tc>
          <w:tcPr>
            <w:tcW w:w="57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 </w:t>
            </w:r>
          </w:p>
        </w:tc>
        <w:tc>
          <w:tcPr>
            <w:tcW w:w="412"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2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Пациентский конец с маской аэрозольной взрослой</w:t>
            </w:r>
          </w:p>
        </w:tc>
        <w:tc>
          <w:tcPr>
            <w:tcW w:w="473"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Наличие </w:t>
            </w:r>
          </w:p>
        </w:tc>
        <w:tc>
          <w:tcPr>
            <w:tcW w:w="57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 </w:t>
            </w:r>
          </w:p>
        </w:tc>
        <w:tc>
          <w:tcPr>
            <w:tcW w:w="412"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20"/>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Т-образный переходник со стандартными боковыми 22 мм коннекторами. </w:t>
            </w:r>
          </w:p>
        </w:tc>
        <w:tc>
          <w:tcPr>
            <w:tcW w:w="473"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Наличие </w:t>
            </w:r>
          </w:p>
        </w:tc>
        <w:tc>
          <w:tcPr>
            <w:tcW w:w="57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 </w:t>
            </w:r>
          </w:p>
        </w:tc>
        <w:tc>
          <w:tcPr>
            <w:tcW w:w="412"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20"/>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jc w:val="center"/>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Нижний коннектор - 15мм.</w:t>
            </w:r>
          </w:p>
        </w:tc>
        <w:tc>
          <w:tcPr>
            <w:tcW w:w="473"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Наличие </w:t>
            </w:r>
          </w:p>
        </w:tc>
        <w:tc>
          <w:tcPr>
            <w:tcW w:w="576"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 </w:t>
            </w:r>
          </w:p>
        </w:tc>
        <w:tc>
          <w:tcPr>
            <w:tcW w:w="412" w:type="pct"/>
            <w:tcBorders>
              <w:top w:val="nil"/>
              <w:left w:val="nil"/>
              <w:bottom w:val="single" w:sz="4" w:space="0" w:color="auto"/>
              <w:right w:val="single" w:sz="4" w:space="0" w:color="auto"/>
            </w:tcBorders>
            <w:shd w:val="clear" w:color="auto" w:fill="auto"/>
            <w:vAlign w:val="center"/>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11</w:t>
            </w:r>
          </w:p>
        </w:tc>
        <w:tc>
          <w:tcPr>
            <w:tcW w:w="633"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Зонд</w:t>
            </w:r>
          </w:p>
        </w:tc>
        <w:tc>
          <w:tcPr>
            <w:tcW w:w="352"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32.50.13.110</w:t>
            </w:r>
          </w:p>
        </w:tc>
        <w:tc>
          <w:tcPr>
            <w:tcW w:w="58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Зонд для энтерального питания, устанавливаемый в желудок, толстую кишку.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1</w:t>
            </w:r>
          </w:p>
        </w:tc>
        <w:tc>
          <w:tcPr>
            <w:tcW w:w="294"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штука</w:t>
            </w:r>
          </w:p>
        </w:tc>
        <w:tc>
          <w:tcPr>
            <w:tcW w:w="410"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256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Имеет рентгеноконтрастные полосы, спиральный мандрен, Луер-Лок соединение с отдельным портом с разъемом ENFit, гибкую полиуретановую оливу с двумя отверстиями на дистальном конце зонда.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Шаг градуировки 6 см.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Зонд изготовлен из полиуретана.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Длина зонда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120</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Сантиметр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70C0"/>
                <w:sz w:val="20"/>
                <w:szCs w:val="20"/>
                <w:lang w:eastAsia="ru-RU"/>
              </w:rPr>
            </w:pPr>
            <w:r w:rsidRPr="00D670FD">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Наружный диаметр 3,0 мм</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nil"/>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633"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Внутренний диаметр 2,0 мм</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21"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47"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D670FD" w:rsidRPr="00D670FD" w:rsidRDefault="00D670FD" w:rsidP="00D670FD">
            <w:pPr>
              <w:spacing w:after="0" w:line="240" w:lineRule="auto"/>
              <w:rPr>
                <w:rFonts w:ascii="Calibri" w:eastAsia="Times New Roman" w:hAnsi="Calibri" w:cs="Times New Roman"/>
                <w:color w:val="000000"/>
                <w:lang w:eastAsia="ru-RU"/>
              </w:rPr>
            </w:pPr>
            <w:r w:rsidRPr="00D670FD">
              <w:rPr>
                <w:rFonts w:ascii="Calibri" w:eastAsia="Times New Roman" w:hAnsi="Calibri" w:cs="Times New Roman"/>
                <w:color w:val="000000"/>
                <w:lang w:eastAsia="ru-RU"/>
              </w:rPr>
              <w:t> </w:t>
            </w:r>
          </w:p>
        </w:tc>
      </w:tr>
      <w:tr w:rsidR="00D670FD" w:rsidRPr="00D670FD" w:rsidTr="00D670FD">
        <w:trPr>
          <w:trHeight w:val="1035"/>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12</w:t>
            </w:r>
          </w:p>
        </w:tc>
        <w:tc>
          <w:tcPr>
            <w:tcW w:w="633"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Интродьюсер для эндотрахеальной трубки, одноразового использования</w:t>
            </w:r>
          </w:p>
        </w:tc>
        <w:tc>
          <w:tcPr>
            <w:tcW w:w="352"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32.50.13.190-00007462**</w:t>
            </w:r>
          </w:p>
        </w:tc>
        <w:tc>
          <w:tcPr>
            <w:tcW w:w="58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Инструмент для трудной интубации для трубок диаметром ≥ 4.5 мм.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jc w:val="right"/>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30</w:t>
            </w:r>
          </w:p>
        </w:tc>
        <w:tc>
          <w:tcPr>
            <w:tcW w:w="294"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штука</w:t>
            </w:r>
          </w:p>
        </w:tc>
        <w:tc>
          <w:tcPr>
            <w:tcW w:w="410"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single" w:sz="4" w:space="0" w:color="auto"/>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Может применяться при традиционной и видеоларингоскопии.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Соответствие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Общая длина</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60  и  ≤ 70</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Сантиметр</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70C0"/>
                <w:sz w:val="20"/>
                <w:szCs w:val="20"/>
                <w:lang w:eastAsia="ru-RU"/>
              </w:rPr>
            </w:pPr>
            <w:r w:rsidRPr="00D670FD">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Размер 11Fr.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Кислородный канал (переходник Луер Лок / 15F в комплекте).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307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Состоит из двух функциональных сегментов: изгибающегося сегмента (принимает любую геометрическую форму) и ригидного сегмента (обеспечивает надежное соединение с источником кислорода без риска смещения с места дислокации проводника).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800"/>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Маневренность дистального конца необходима для проведения эндотрахеальной трубки в трахею над голосовой щелью.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54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Кончик проводника мягкий, закругленный, загнутый, ярко окрашенный, имеет 2 боковых и 1 прямое кислородное отверстия.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Метрический (шкала от 0 до 40 см).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Рентгеноконтрастные метки.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290"/>
        </w:trPr>
        <w:tc>
          <w:tcPr>
            <w:tcW w:w="114"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Наличие специального коннектора, при подаче кислорода через который может быть пролонгировано апноэ.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nil"/>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r w:rsidR="00D670FD" w:rsidRPr="00D670FD" w:rsidTr="00D670FD">
        <w:trPr>
          <w:trHeight w:val="1035"/>
        </w:trPr>
        <w:tc>
          <w:tcPr>
            <w:tcW w:w="114"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63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35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58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xml:space="preserve">Стерильно. </w:t>
            </w:r>
          </w:p>
        </w:tc>
        <w:tc>
          <w:tcPr>
            <w:tcW w:w="473"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Наличие</w:t>
            </w:r>
          </w:p>
        </w:tc>
        <w:tc>
          <w:tcPr>
            <w:tcW w:w="576"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sz w:val="20"/>
                <w:szCs w:val="20"/>
                <w:lang w:eastAsia="ru-RU"/>
              </w:rPr>
            </w:pPr>
            <w:r w:rsidRPr="00D670FD">
              <w:rPr>
                <w:rFonts w:ascii="Times New Roman" w:eastAsia="Times New Roman" w:hAnsi="Times New Roman" w:cs="Times New Roman"/>
                <w:sz w:val="20"/>
                <w:szCs w:val="20"/>
                <w:lang w:eastAsia="ru-RU"/>
              </w:rPr>
              <w:t> </w:t>
            </w:r>
          </w:p>
        </w:tc>
        <w:tc>
          <w:tcPr>
            <w:tcW w:w="412"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6" w:type="pct"/>
            <w:tcBorders>
              <w:top w:val="nil"/>
              <w:left w:val="single" w:sz="4" w:space="0" w:color="auto"/>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94"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410"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21"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47"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c>
          <w:tcPr>
            <w:tcW w:w="209" w:type="pct"/>
            <w:tcBorders>
              <w:top w:val="nil"/>
              <w:left w:val="nil"/>
              <w:bottom w:val="single" w:sz="4" w:space="0" w:color="auto"/>
              <w:right w:val="single" w:sz="4" w:space="0" w:color="auto"/>
            </w:tcBorders>
            <w:shd w:val="clear" w:color="auto" w:fill="auto"/>
            <w:vAlign w:val="bottom"/>
            <w:hideMark/>
          </w:tcPr>
          <w:p w:rsidR="00D670FD" w:rsidRPr="00D670FD" w:rsidRDefault="00D670FD" w:rsidP="00D670FD">
            <w:pPr>
              <w:spacing w:after="0" w:line="240" w:lineRule="auto"/>
              <w:rPr>
                <w:rFonts w:ascii="Times New Roman" w:eastAsia="Times New Roman" w:hAnsi="Times New Roman" w:cs="Times New Roman"/>
                <w:color w:val="000000"/>
                <w:sz w:val="20"/>
                <w:szCs w:val="20"/>
                <w:lang w:eastAsia="ru-RU"/>
              </w:rPr>
            </w:pPr>
            <w:r w:rsidRPr="00D670FD">
              <w:rPr>
                <w:rFonts w:ascii="Times New Roman" w:eastAsia="Times New Roman" w:hAnsi="Times New Roman" w:cs="Times New Roman"/>
                <w:color w:val="000000"/>
                <w:sz w:val="20"/>
                <w:szCs w:val="20"/>
                <w:lang w:eastAsia="ru-RU"/>
              </w:rPr>
              <w:t> </w:t>
            </w:r>
          </w:p>
        </w:tc>
      </w:tr>
    </w:tbl>
    <w:p w:rsidR="00D670FD" w:rsidRDefault="00D670FD" w:rsidP="00D670FD">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D670FD" w:rsidRDefault="00D670FD" w:rsidP="00D670FD">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D670FD">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D670FD">
        <w:rPr>
          <w:rFonts w:ascii="Roboto" w:hAnsi="Roboto" w:cs="Roboto"/>
          <w:color w:val="333333"/>
          <w:highlight w:val="white"/>
        </w:rPr>
        <w:t xml:space="preserve"> </w:t>
      </w:r>
      <w:r>
        <w:rPr>
          <w:rFonts w:ascii="Calibri" w:hAnsi="Calibri" w:cs="Calibri"/>
          <w:color w:val="333333"/>
          <w:highlight w:val="white"/>
        </w:rPr>
        <w:t>России</w:t>
      </w:r>
      <w:r w:rsidRPr="00D670FD">
        <w:rPr>
          <w:rFonts w:ascii="Roboto" w:hAnsi="Roboto" w:cs="Roboto"/>
          <w:color w:val="333333"/>
          <w:highlight w:val="white"/>
        </w:rPr>
        <w:t xml:space="preserve"> </w:t>
      </w:r>
      <w:r>
        <w:rPr>
          <w:rFonts w:ascii="Calibri" w:hAnsi="Calibri" w:cs="Calibri"/>
          <w:color w:val="333333"/>
          <w:highlight w:val="white"/>
        </w:rPr>
        <w:t>от</w:t>
      </w:r>
      <w:r w:rsidRPr="00D670FD">
        <w:rPr>
          <w:rFonts w:ascii="Roboto" w:hAnsi="Roboto" w:cs="Roboto"/>
          <w:color w:val="333333"/>
          <w:highlight w:val="white"/>
        </w:rPr>
        <w:t xml:space="preserve"> 24 </w:t>
      </w:r>
      <w:r>
        <w:rPr>
          <w:rFonts w:ascii="Calibri" w:hAnsi="Calibri" w:cs="Calibri"/>
          <w:color w:val="333333"/>
          <w:highlight w:val="white"/>
        </w:rPr>
        <w:t>января</w:t>
      </w:r>
      <w:r w:rsidRPr="00D670FD">
        <w:rPr>
          <w:rFonts w:ascii="Roboto" w:hAnsi="Roboto" w:cs="Roboto"/>
          <w:color w:val="333333"/>
          <w:highlight w:val="white"/>
        </w:rPr>
        <w:t xml:space="preserve"> 2022 </w:t>
      </w:r>
      <w:r>
        <w:rPr>
          <w:rFonts w:ascii="Calibri" w:hAnsi="Calibri" w:cs="Calibri"/>
          <w:color w:val="333333"/>
          <w:highlight w:val="white"/>
        </w:rPr>
        <w:t>г</w:t>
      </w:r>
      <w:r w:rsidRPr="00D670FD">
        <w:rPr>
          <w:rFonts w:ascii="Roboto" w:hAnsi="Roboto" w:cs="Roboto"/>
          <w:color w:val="333333"/>
          <w:highlight w:val="white"/>
        </w:rPr>
        <w:t xml:space="preserve">. </w:t>
      </w:r>
      <w:r>
        <w:rPr>
          <w:rFonts w:ascii="Roboto" w:hAnsi="Roboto" w:cs="Roboto"/>
          <w:color w:val="333333"/>
          <w:highlight w:val="white"/>
          <w:lang w:val="en-US"/>
        </w:rPr>
        <w:t>N</w:t>
      </w:r>
      <w:r w:rsidRPr="00D670FD">
        <w:rPr>
          <w:rFonts w:ascii="Roboto" w:hAnsi="Roboto" w:cs="Roboto"/>
          <w:color w:val="333333"/>
          <w:highlight w:val="white"/>
        </w:rPr>
        <w:t xml:space="preserve"> 24-03-08/4090)</w:t>
      </w:r>
    </w:p>
    <w:p w:rsidR="00D670FD" w:rsidRDefault="00D670FD" w:rsidP="00D670FD">
      <w:pPr>
        <w:autoSpaceDE w:val="0"/>
        <w:autoSpaceDN w:val="0"/>
        <w:adjustRightInd w:val="0"/>
        <w:jc w:val="both"/>
        <w:rPr>
          <w:rFonts w:ascii="Times New Roman CYR" w:hAnsi="Times New Roman CYR" w:cs="Times New Roman CYR"/>
          <w:b/>
          <w:bCs/>
        </w:rPr>
      </w:pPr>
    </w:p>
    <w:p w:rsidR="00170252" w:rsidRDefault="00170252" w:rsidP="000820E3">
      <w:pPr>
        <w:rPr>
          <w:rFonts w:ascii="Times New Roman" w:hAnsi="Times New Roman" w:cs="Times New Roman"/>
          <w:b/>
          <w:sz w:val="28"/>
          <w:szCs w:val="28"/>
        </w:rPr>
      </w:pPr>
    </w:p>
    <w:sectPr w:rsidR="00170252" w:rsidSect="00D670FD">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D81" w:rsidRDefault="00B52D81">
      <w:pPr>
        <w:spacing w:after="0" w:line="240" w:lineRule="auto"/>
      </w:pPr>
      <w:r>
        <w:separator/>
      </w:r>
    </w:p>
  </w:endnote>
  <w:endnote w:type="continuationSeparator" w:id="0">
    <w:p w:rsidR="00B52D81" w:rsidRDefault="00B52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415F8" w:rsidRDefault="008415F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415F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415F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415F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415F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415F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670F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D81" w:rsidRDefault="00B52D81">
      <w:pPr>
        <w:spacing w:after="0" w:line="240" w:lineRule="auto"/>
      </w:pPr>
      <w:r>
        <w:separator/>
      </w:r>
    </w:p>
  </w:footnote>
  <w:footnote w:type="continuationSeparator" w:id="0">
    <w:p w:rsidR="00B52D81" w:rsidRDefault="00B52D8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415F8" w:rsidRDefault="008415F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415F8" w:rsidRDefault="008415F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415F8" w:rsidRDefault="008415F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15F8"/>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52D81"/>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670F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D670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D670F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0"/>
    <w:rsid w:val="00D670FD"/>
    <w:pPr>
      <w:spacing w:before="100" w:beforeAutospacing="1" w:after="100" w:afterAutospacing="1" w:line="240" w:lineRule="auto"/>
    </w:pPr>
    <w:rPr>
      <w:rFonts w:ascii="Calibri" w:eastAsia="Times New Roman" w:hAnsi="Calibri" w:cs="Times New Roman"/>
      <w:lang w:eastAsia="ru-RU"/>
    </w:rPr>
  </w:style>
  <w:style w:type="paragraph" w:customStyle="1" w:styleId="font7">
    <w:name w:val="font7"/>
    <w:basedOn w:val="a0"/>
    <w:rsid w:val="00D670FD"/>
    <w:pPr>
      <w:spacing w:before="100" w:beforeAutospacing="1" w:after="100" w:afterAutospacing="1" w:line="240" w:lineRule="auto"/>
    </w:pPr>
    <w:rPr>
      <w:rFonts w:ascii="Calibri" w:eastAsia="Times New Roman" w:hAnsi="Calibri" w:cs="Times New Roman"/>
      <w:lang w:eastAsia="ru-RU"/>
    </w:rPr>
  </w:style>
  <w:style w:type="paragraph" w:customStyle="1" w:styleId="font8">
    <w:name w:val="font8"/>
    <w:basedOn w:val="a0"/>
    <w:rsid w:val="00D670FD"/>
    <w:pPr>
      <w:spacing w:before="100" w:beforeAutospacing="1" w:after="100" w:afterAutospacing="1" w:line="240" w:lineRule="auto"/>
    </w:pPr>
    <w:rPr>
      <w:rFonts w:ascii="Calibri" w:eastAsia="Times New Roman" w:hAnsi="Calibri" w:cs="Times New Roman"/>
      <w:sz w:val="20"/>
      <w:szCs w:val="20"/>
      <w:lang w:eastAsia="ru-RU"/>
    </w:rPr>
  </w:style>
  <w:style w:type="paragraph" w:customStyle="1" w:styleId="xl63">
    <w:name w:val="xl63"/>
    <w:basedOn w:val="a0"/>
    <w:rsid w:val="00D6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4">
    <w:name w:val="xl64"/>
    <w:basedOn w:val="a0"/>
    <w:rsid w:val="00D6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0"/>
    <w:rsid w:val="00D6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0"/>
    <w:rsid w:val="00D6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D670F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D6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0"/>
    <w:rsid w:val="00D6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0"/>
    <w:rsid w:val="00D6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0"/>
    <w:rsid w:val="00D670F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0"/>
    <w:rsid w:val="00D670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rsid w:val="00D6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4">
    <w:name w:val="xl74"/>
    <w:basedOn w:val="a0"/>
    <w:rsid w:val="00D670F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0"/>
    <w:rsid w:val="00D6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0"/>
    <w:rsid w:val="00D670F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D6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0"/>
      <w:szCs w:val="20"/>
      <w:lang w:eastAsia="ru-RU"/>
    </w:rPr>
  </w:style>
  <w:style w:type="paragraph" w:customStyle="1" w:styleId="xl78">
    <w:name w:val="xl78"/>
    <w:basedOn w:val="a0"/>
    <w:rsid w:val="00D670F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0"/>
    <w:rsid w:val="00D670F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0"/>
    <w:rsid w:val="00D6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05496"/>
      <w:sz w:val="20"/>
      <w:szCs w:val="20"/>
      <w:lang w:eastAsia="ru-RU"/>
    </w:rPr>
  </w:style>
  <w:style w:type="paragraph" w:customStyle="1" w:styleId="xl81">
    <w:name w:val="xl81"/>
    <w:basedOn w:val="a0"/>
    <w:rsid w:val="00D670F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2">
    <w:name w:val="xl82"/>
    <w:basedOn w:val="a0"/>
    <w:rsid w:val="00D670F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0"/>
    <w:rsid w:val="00D670F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0"/>
    <w:rsid w:val="00D670FD"/>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D670F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0"/>
    <w:rsid w:val="00D670F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7">
    <w:name w:val="xl87"/>
    <w:basedOn w:val="a0"/>
    <w:rsid w:val="00D6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0"/>
    <w:rsid w:val="00D670F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9">
    <w:name w:val="xl89"/>
    <w:basedOn w:val="a0"/>
    <w:rsid w:val="00D670F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0">
    <w:name w:val="xl90"/>
    <w:basedOn w:val="a0"/>
    <w:rsid w:val="00D670F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91">
    <w:name w:val="xl91"/>
    <w:basedOn w:val="a0"/>
    <w:rsid w:val="00D670F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2">
    <w:name w:val="xl92"/>
    <w:basedOn w:val="a0"/>
    <w:rsid w:val="00D6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0"/>
      <w:szCs w:val="20"/>
      <w:lang w:eastAsia="ru-RU"/>
    </w:rPr>
  </w:style>
  <w:style w:type="paragraph" w:customStyle="1" w:styleId="xl93">
    <w:name w:val="xl93"/>
    <w:basedOn w:val="a0"/>
    <w:rsid w:val="00D670F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4">
    <w:name w:val="xl94"/>
    <w:basedOn w:val="a0"/>
    <w:rsid w:val="00D670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5">
    <w:name w:val="xl95"/>
    <w:basedOn w:val="a0"/>
    <w:rsid w:val="00D6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76260297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B7550-D97C-4AD0-A52C-8F49CAA5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4914</Words>
  <Characters>28016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2026-03-30T12:24:00Z</dcterms:created>
  <dcterms:modified xsi:type="dcterms:W3CDTF">2026-03-30T12:24:00Z</dcterms:modified>
</cp:coreProperties>
</file>