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26.01.2022 № 21.1-03/39</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01.02.2022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B80B18">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062"/>
        <w:gridCol w:w="6835"/>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предоставлению неисключительных прав на ПО «Антиплагиат»</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31.03.2022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2 рабочих дней с момента подписания Контратка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одним этапом</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15 (пятнадцати) календарных дней с даты подписания Сторонами Акта о предоставлении лицензий Лицензиат выплачивает Лицензиару вознаграждение в размере 100 % от общей суммы Договора</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акт приема-передачи прав, лицензия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Исполнитель указывает в КП</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F33C14" w:rsidRDefault="00F33C14" w:rsidP="00F33C14">
      <w:pPr>
        <w:jc w:val="center"/>
        <w:rPr>
          <w:rFonts w:ascii="Times New Roman" w:hAnsi="Times New Roman" w:cs="Times New Roman"/>
          <w:sz w:val="24"/>
          <w:szCs w:val="24"/>
        </w:rPr>
      </w:pPr>
      <w:r w:rsidRPr="009A03FC">
        <w:rPr>
          <w:rFonts w:ascii="Times New Roman" w:hAnsi="Times New Roman" w:cs="Times New Roman"/>
          <w:sz w:val="24"/>
          <w:szCs w:val="24"/>
        </w:rPr>
        <w:t>Оказание услуг по предоставлению неисключительных прав на ПО «Антиплагиат»</w:t>
      </w:r>
    </w:p>
    <w:tbl>
      <w:tblPr>
        <w:tblW w:w="1550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276"/>
        <w:gridCol w:w="2473"/>
        <w:gridCol w:w="6945"/>
        <w:gridCol w:w="2410"/>
        <w:gridCol w:w="1985"/>
        <w:gridCol w:w="1417"/>
      </w:tblGrid>
      <w:tr w:rsidR="00F33C14" w:rsidRPr="00F33C14" w:rsidTr="00401CDA">
        <w:trPr>
          <w:tblCellSpacing w:w="0" w:type="dxa"/>
        </w:trPr>
        <w:tc>
          <w:tcPr>
            <w:tcW w:w="276" w:type="dxa"/>
            <w:shd w:val="clear" w:color="auto" w:fill="auto"/>
            <w:noWrap/>
            <w:vAlign w:val="center"/>
            <w:hideMark/>
          </w:tcPr>
          <w:p w:rsidR="00F33C14" w:rsidRPr="00F33C14" w:rsidRDefault="00F33C14" w:rsidP="00E121D8">
            <w:pPr>
              <w:spacing w:after="0"/>
              <w:jc w:val="center"/>
              <w:rPr>
                <w:rFonts w:ascii="Times New Roman" w:hAnsi="Times New Roman" w:cs="Times New Roman"/>
                <w:b/>
                <w:sz w:val="20"/>
              </w:rPr>
            </w:pPr>
            <w:r w:rsidRPr="00F33C14">
              <w:rPr>
                <w:rFonts w:ascii="Times New Roman" w:hAnsi="Times New Roman" w:cs="Times New Roman"/>
                <w:b/>
                <w:sz w:val="20"/>
              </w:rPr>
              <w:t>№</w:t>
            </w:r>
          </w:p>
        </w:tc>
        <w:tc>
          <w:tcPr>
            <w:tcW w:w="2473" w:type="dxa"/>
            <w:shd w:val="clear" w:color="auto" w:fill="auto"/>
            <w:vAlign w:val="center"/>
            <w:hideMark/>
          </w:tcPr>
          <w:p w:rsidR="00F33C14" w:rsidRPr="00F33C14" w:rsidRDefault="00F33C14" w:rsidP="00E121D8">
            <w:pPr>
              <w:spacing w:after="0"/>
              <w:jc w:val="center"/>
              <w:rPr>
                <w:rFonts w:ascii="Times New Roman" w:hAnsi="Times New Roman" w:cs="Times New Roman"/>
                <w:b/>
                <w:sz w:val="20"/>
              </w:rPr>
            </w:pPr>
            <w:r w:rsidRPr="00F33C14">
              <w:rPr>
                <w:rFonts w:ascii="Times New Roman" w:hAnsi="Times New Roman" w:cs="Times New Roman"/>
                <w:b/>
                <w:sz w:val="20"/>
              </w:rPr>
              <w:t>Наименование программы для ЭВМ (компонента ПО)</w:t>
            </w:r>
          </w:p>
        </w:tc>
        <w:tc>
          <w:tcPr>
            <w:tcW w:w="6945" w:type="dxa"/>
            <w:shd w:val="clear" w:color="auto" w:fill="auto"/>
            <w:vAlign w:val="center"/>
            <w:hideMark/>
          </w:tcPr>
          <w:p w:rsidR="00F33C14" w:rsidRPr="00F33C14" w:rsidRDefault="00F33C14" w:rsidP="00E121D8">
            <w:pPr>
              <w:spacing w:after="0"/>
              <w:jc w:val="center"/>
              <w:rPr>
                <w:rFonts w:ascii="Times New Roman" w:hAnsi="Times New Roman" w:cs="Times New Roman"/>
                <w:b/>
                <w:sz w:val="20"/>
              </w:rPr>
            </w:pPr>
            <w:r w:rsidRPr="00F33C14">
              <w:rPr>
                <w:rFonts w:ascii="Times New Roman" w:hAnsi="Times New Roman" w:cs="Times New Roman"/>
                <w:b/>
                <w:sz w:val="20"/>
              </w:rPr>
              <w:t xml:space="preserve">Описание компонента ПО, функциональность и условия использования </w:t>
            </w:r>
          </w:p>
        </w:tc>
        <w:tc>
          <w:tcPr>
            <w:tcW w:w="2410" w:type="dxa"/>
            <w:shd w:val="clear" w:color="auto" w:fill="auto"/>
            <w:vAlign w:val="center"/>
          </w:tcPr>
          <w:p w:rsidR="00F33C14" w:rsidRPr="00F33C14" w:rsidRDefault="00F33C14" w:rsidP="00E121D8">
            <w:pPr>
              <w:spacing w:after="0"/>
              <w:jc w:val="center"/>
              <w:rPr>
                <w:rFonts w:ascii="Times New Roman" w:hAnsi="Times New Roman" w:cs="Times New Roman"/>
                <w:b/>
                <w:sz w:val="20"/>
              </w:rPr>
            </w:pPr>
            <w:r w:rsidRPr="00F33C14">
              <w:rPr>
                <w:rFonts w:ascii="Times New Roman" w:hAnsi="Times New Roman" w:cs="Times New Roman"/>
                <w:b/>
                <w:sz w:val="20"/>
              </w:rPr>
              <w:t>Лимит проверок (количество запусков компонента ПО)</w:t>
            </w:r>
          </w:p>
        </w:tc>
        <w:tc>
          <w:tcPr>
            <w:tcW w:w="1985" w:type="dxa"/>
            <w:vAlign w:val="center"/>
          </w:tcPr>
          <w:p w:rsidR="00F33C14" w:rsidRPr="00F33C14" w:rsidRDefault="00F33C14" w:rsidP="00E121D8">
            <w:pPr>
              <w:spacing w:after="0"/>
              <w:jc w:val="center"/>
              <w:rPr>
                <w:rFonts w:ascii="Times New Roman" w:hAnsi="Times New Roman" w:cs="Times New Roman"/>
                <w:b/>
                <w:sz w:val="20"/>
              </w:rPr>
            </w:pPr>
            <w:r w:rsidRPr="00F33C14">
              <w:rPr>
                <w:rFonts w:ascii="Times New Roman" w:hAnsi="Times New Roman" w:cs="Times New Roman"/>
                <w:b/>
                <w:sz w:val="20"/>
              </w:rPr>
              <w:t>Период действия Лицензии</w:t>
            </w:r>
          </w:p>
        </w:tc>
        <w:tc>
          <w:tcPr>
            <w:tcW w:w="1417" w:type="dxa"/>
            <w:shd w:val="clear" w:color="auto" w:fill="FFFF00"/>
            <w:vAlign w:val="center"/>
            <w:hideMark/>
          </w:tcPr>
          <w:p w:rsidR="00F33C14" w:rsidRPr="00F33C14" w:rsidRDefault="00F33C14" w:rsidP="00E121D8">
            <w:pPr>
              <w:spacing w:after="0"/>
              <w:jc w:val="center"/>
              <w:rPr>
                <w:rFonts w:ascii="Times New Roman" w:hAnsi="Times New Roman" w:cs="Times New Roman"/>
                <w:b/>
                <w:sz w:val="20"/>
              </w:rPr>
            </w:pPr>
            <w:r w:rsidRPr="00F33C14">
              <w:rPr>
                <w:rFonts w:ascii="Times New Roman" w:hAnsi="Times New Roman" w:cs="Times New Roman"/>
                <w:b/>
                <w:sz w:val="20"/>
              </w:rPr>
              <w:t xml:space="preserve">Сумма (руб.) </w:t>
            </w:r>
          </w:p>
        </w:tc>
      </w:tr>
      <w:tr w:rsidR="00F33C14" w:rsidRPr="00F33C14" w:rsidTr="00401CDA">
        <w:trPr>
          <w:tblCellSpacing w:w="0" w:type="dxa"/>
        </w:trPr>
        <w:tc>
          <w:tcPr>
            <w:tcW w:w="276" w:type="dxa"/>
            <w:shd w:val="clear" w:color="auto" w:fill="auto"/>
            <w:noWrap/>
            <w:hideMark/>
          </w:tcPr>
          <w:p w:rsidR="00F33C14" w:rsidRPr="00F33C14" w:rsidRDefault="00F33C14" w:rsidP="00E121D8">
            <w:pPr>
              <w:spacing w:after="0"/>
              <w:rPr>
                <w:rFonts w:ascii="Times New Roman" w:hAnsi="Times New Roman" w:cs="Times New Roman"/>
                <w:sz w:val="20"/>
              </w:rPr>
            </w:pPr>
            <w:r w:rsidRPr="00F33C14">
              <w:rPr>
                <w:rFonts w:ascii="Times New Roman" w:hAnsi="Times New Roman" w:cs="Times New Roman"/>
                <w:sz w:val="20"/>
              </w:rPr>
              <w:t>1</w:t>
            </w:r>
          </w:p>
        </w:tc>
        <w:tc>
          <w:tcPr>
            <w:tcW w:w="2473" w:type="dxa"/>
            <w:shd w:val="clear" w:color="auto" w:fill="auto"/>
          </w:tcPr>
          <w:p w:rsidR="00F33C14" w:rsidRPr="00F33C14" w:rsidRDefault="00F33C14" w:rsidP="00E121D8">
            <w:pPr>
              <w:pStyle w:val="af7"/>
              <w:rPr>
                <w:rFonts w:ascii="Times New Roman" w:hAnsi="Times New Roman"/>
                <w:sz w:val="18"/>
                <w:szCs w:val="18"/>
              </w:rPr>
            </w:pPr>
            <w:r w:rsidRPr="00F33C14">
              <w:rPr>
                <w:rFonts w:ascii="Times New Roman" w:hAnsi="Times New Roman"/>
                <w:sz w:val="18"/>
                <w:szCs w:val="18"/>
              </w:rPr>
              <w:t>Программная система для поддержки экспертной деятельности по выявлению текстовых заимствований «А</w:t>
            </w:r>
            <w:r w:rsidR="00A47D16">
              <w:rPr>
                <w:rFonts w:ascii="Times New Roman" w:hAnsi="Times New Roman"/>
                <w:sz w:val="18"/>
                <w:szCs w:val="18"/>
              </w:rPr>
              <w:t>нтиплагиат.Эксперт» версии 3.3</w:t>
            </w:r>
          </w:p>
        </w:tc>
        <w:tc>
          <w:tcPr>
            <w:tcW w:w="6945" w:type="dxa"/>
            <w:shd w:val="clear" w:color="auto" w:fill="auto"/>
          </w:tcPr>
          <w:p w:rsidR="00F33C14" w:rsidRPr="00A47D16" w:rsidRDefault="00A47D16" w:rsidP="00E121D8">
            <w:pPr>
              <w:spacing w:after="0" w:line="236" w:lineRule="auto"/>
              <w:rPr>
                <w:rFonts w:ascii="Times New Roman" w:eastAsia="Times New Roman" w:hAnsi="Times New Roman" w:cs="Times New Roman"/>
                <w:sz w:val="18"/>
                <w:szCs w:val="18"/>
                <w:lang w:eastAsia="ru-RU"/>
              </w:rPr>
            </w:pPr>
            <w:r w:rsidRPr="00A47D16">
              <w:rPr>
                <w:rFonts w:ascii="Times New Roman" w:eastAsia="Times New Roman" w:hAnsi="Times New Roman" w:cs="Times New Roman"/>
                <w:sz w:val="18"/>
                <w:szCs w:val="18"/>
                <w:lang w:eastAsia="ru-RU"/>
              </w:rPr>
              <w:t>Реализует поиск заимствований в текстовых документах: загрузку документов в кабинете пользователя и через API, формирование отчетов о проверке, расчет подробной статистики по проверкам. Позволяет вести собственную коллекцию организации на русском или национальном языке. Интеграция с информационной системой Заказчика с помощью API осуществляется силами Заказчика.</w:t>
            </w:r>
          </w:p>
        </w:tc>
        <w:tc>
          <w:tcPr>
            <w:tcW w:w="2410" w:type="dxa"/>
            <w:shd w:val="clear" w:color="auto" w:fill="auto"/>
            <w:vAlign w:val="center"/>
          </w:tcPr>
          <w:p w:rsidR="00F33C14" w:rsidRPr="00F33C14" w:rsidRDefault="00F33C14" w:rsidP="00E121D8">
            <w:pPr>
              <w:spacing w:after="0"/>
              <w:jc w:val="center"/>
              <w:rPr>
                <w:rFonts w:ascii="Times New Roman" w:hAnsi="Times New Roman" w:cs="Times New Roman"/>
                <w:sz w:val="18"/>
                <w:szCs w:val="18"/>
              </w:rPr>
            </w:pPr>
            <w:r w:rsidRPr="00F33C14">
              <w:rPr>
                <w:rFonts w:ascii="Times New Roman" w:hAnsi="Times New Roman" w:cs="Times New Roman"/>
                <w:sz w:val="18"/>
                <w:szCs w:val="18"/>
              </w:rPr>
              <w:t>-</w:t>
            </w:r>
          </w:p>
        </w:tc>
        <w:tc>
          <w:tcPr>
            <w:tcW w:w="1985" w:type="dxa"/>
            <w:vAlign w:val="center"/>
          </w:tcPr>
          <w:p w:rsidR="00F33C14" w:rsidRPr="00F33C14" w:rsidRDefault="00F33C14" w:rsidP="00E121D8">
            <w:pPr>
              <w:spacing w:after="0"/>
              <w:jc w:val="center"/>
              <w:rPr>
                <w:rFonts w:ascii="Times New Roman" w:hAnsi="Times New Roman" w:cs="Times New Roman"/>
                <w:color w:val="000000" w:themeColor="text1"/>
                <w:sz w:val="18"/>
                <w:szCs w:val="18"/>
              </w:rPr>
            </w:pPr>
            <w:r w:rsidRPr="00F33C14">
              <w:rPr>
                <w:rFonts w:ascii="Times New Roman" w:hAnsi="Times New Roman" w:cs="Times New Roman"/>
                <w:color w:val="000000" w:themeColor="text1"/>
                <w:sz w:val="18"/>
                <w:szCs w:val="18"/>
              </w:rPr>
              <w:t>1 год</w:t>
            </w:r>
          </w:p>
          <w:p w:rsidR="00F33C14" w:rsidRPr="00F33C14" w:rsidRDefault="00F33C14" w:rsidP="00E121D8">
            <w:pPr>
              <w:spacing w:after="0"/>
              <w:jc w:val="center"/>
              <w:rPr>
                <w:rFonts w:ascii="Times New Roman" w:hAnsi="Times New Roman" w:cs="Times New Roman"/>
                <w:sz w:val="18"/>
                <w:szCs w:val="18"/>
              </w:rPr>
            </w:pPr>
          </w:p>
        </w:tc>
        <w:tc>
          <w:tcPr>
            <w:tcW w:w="1417" w:type="dxa"/>
            <w:shd w:val="clear" w:color="auto" w:fill="FFFF00"/>
            <w:vAlign w:val="center"/>
          </w:tcPr>
          <w:p w:rsidR="00F33C14" w:rsidRPr="00F33C14" w:rsidRDefault="00F33C14" w:rsidP="00E121D8">
            <w:pPr>
              <w:spacing w:after="0"/>
              <w:jc w:val="center"/>
              <w:rPr>
                <w:rFonts w:ascii="Times New Roman" w:hAnsi="Times New Roman" w:cs="Times New Roman"/>
                <w:sz w:val="18"/>
                <w:szCs w:val="18"/>
              </w:rPr>
            </w:pPr>
          </w:p>
        </w:tc>
      </w:tr>
      <w:tr w:rsidR="00F33C14" w:rsidRPr="00F33C14" w:rsidTr="00401CDA">
        <w:trPr>
          <w:tblCellSpacing w:w="0" w:type="dxa"/>
        </w:trPr>
        <w:tc>
          <w:tcPr>
            <w:tcW w:w="276" w:type="dxa"/>
            <w:shd w:val="clear" w:color="auto" w:fill="auto"/>
            <w:noWrap/>
            <w:hideMark/>
          </w:tcPr>
          <w:p w:rsidR="00F33C14" w:rsidRPr="00F33C14" w:rsidRDefault="00F33C14" w:rsidP="00E121D8">
            <w:pPr>
              <w:spacing w:after="0"/>
              <w:rPr>
                <w:rFonts w:ascii="Times New Roman" w:hAnsi="Times New Roman" w:cs="Times New Roman"/>
                <w:sz w:val="20"/>
              </w:rPr>
            </w:pPr>
            <w:r w:rsidRPr="00F33C14">
              <w:rPr>
                <w:rFonts w:ascii="Times New Roman" w:hAnsi="Times New Roman" w:cs="Times New Roman"/>
                <w:sz w:val="20"/>
              </w:rPr>
              <w:t>2</w:t>
            </w:r>
          </w:p>
        </w:tc>
        <w:tc>
          <w:tcPr>
            <w:tcW w:w="2473" w:type="dxa"/>
            <w:shd w:val="clear" w:color="auto" w:fill="auto"/>
          </w:tcPr>
          <w:p w:rsidR="00F33C14" w:rsidRPr="00F33C14" w:rsidRDefault="00F33C14" w:rsidP="00E121D8">
            <w:pPr>
              <w:pStyle w:val="af7"/>
              <w:rPr>
                <w:rFonts w:ascii="Times New Roman" w:hAnsi="Times New Roman"/>
                <w:sz w:val="18"/>
                <w:szCs w:val="18"/>
              </w:rPr>
            </w:pPr>
            <w:r w:rsidRPr="00F33C14">
              <w:rPr>
                <w:rFonts w:ascii="Times New Roman" w:hAnsi="Times New Roman"/>
                <w:sz w:val="18"/>
                <w:szCs w:val="18"/>
              </w:rPr>
              <w:t>Программное обеспечение «Модуль поиска текстовых заимствований “Объединенная коллекция 2020”»</w:t>
            </w:r>
          </w:p>
        </w:tc>
        <w:tc>
          <w:tcPr>
            <w:tcW w:w="6945" w:type="dxa"/>
            <w:shd w:val="clear" w:color="auto" w:fill="auto"/>
          </w:tcPr>
          <w:p w:rsidR="00A47D16" w:rsidRPr="00A47D16" w:rsidRDefault="00A47D16" w:rsidP="00A47D16">
            <w:pPr>
              <w:spacing w:after="0"/>
              <w:rPr>
                <w:rFonts w:ascii="Times New Roman" w:eastAsia="Times New Roman" w:hAnsi="Times New Roman" w:cs="Times New Roman"/>
                <w:sz w:val="18"/>
                <w:szCs w:val="18"/>
                <w:lang w:eastAsia="ru-RU"/>
              </w:rPr>
            </w:pPr>
            <w:r w:rsidRPr="00A47D16">
              <w:rPr>
                <w:rFonts w:ascii="Times New Roman" w:eastAsia="Times New Roman" w:hAnsi="Times New Roman" w:cs="Times New Roman"/>
                <w:sz w:val="18"/>
                <w:szCs w:val="18"/>
                <w:lang w:eastAsia="ru-RU"/>
              </w:rPr>
              <w:t>Реализует поиск заимствований по агрегированной базе научных, учебных и других видов документов, которая включает следующие источники:</w:t>
            </w:r>
          </w:p>
          <w:p w:rsidR="00F33C14" w:rsidRPr="00A47D16" w:rsidRDefault="00A47D16" w:rsidP="00A47D16">
            <w:pPr>
              <w:spacing w:after="0" w:line="236" w:lineRule="auto"/>
              <w:rPr>
                <w:rFonts w:ascii="Times New Roman" w:eastAsia="Times New Roman" w:hAnsi="Times New Roman" w:cs="Times New Roman"/>
                <w:sz w:val="18"/>
                <w:szCs w:val="18"/>
                <w:lang w:eastAsia="ru-RU"/>
              </w:rPr>
            </w:pPr>
            <w:r w:rsidRPr="00A47D16">
              <w:rPr>
                <w:rFonts w:ascii="Times New Roman" w:eastAsia="Times New Roman" w:hAnsi="Times New Roman" w:cs="Times New Roman"/>
                <w:sz w:val="18"/>
                <w:szCs w:val="18"/>
                <w:lang w:eastAsia="ru-RU"/>
              </w:rPr>
              <w:t>модуль «Интернет плюс», осуществляющий поиск заимствований по открытым источникам научного и образовательного сегмента сети Интернет, в т.ч. посредством ведущих мировых поисковых систем, что значительно расширяет область поиска и позволяет в режиме online определять совпадения среди страниц и документов, которые обновлены или созданы в интернет на момент проверки текста; полные тексты диссертаций и авторефератов из фондов Российской государственной библиотеки (РГБ) и Национальной библиотеки Беларуси (НББ); полные тексты научных статей на русском и иностранных языках из фондов научной электронной библиотеки «eLIBRARY.RU»; нормативно-правовые документы ЭПС «Система Гарант», «Адилет»; патентные документы на русском и иностранных языках; сводную коллекцию документов вузов-участников проекта «Кольцо вузов»; сводную коллекцию электронно-библиотечных систем «Лань», «Университетская библиотека online», «Айбукс», «БиблиоРоссика», «Юрайт», «Book.ru», «Консультант студента»; научную и учебную литературу по медицине и фармацевтике издательской группы «ГЭОТАР-Медиа», ЦНМБ Первого МГМУ им. И.М. Сеченова, издательства «Медицина»; модуль поиска переводных заимствований (на русский, английский, казахский языки).</w:t>
            </w:r>
          </w:p>
        </w:tc>
        <w:tc>
          <w:tcPr>
            <w:tcW w:w="2410" w:type="dxa"/>
            <w:shd w:val="clear" w:color="auto" w:fill="auto"/>
            <w:vAlign w:val="center"/>
          </w:tcPr>
          <w:p w:rsidR="00F33C14" w:rsidRPr="00F33C14" w:rsidRDefault="00F33C14" w:rsidP="00E121D8">
            <w:pPr>
              <w:spacing w:after="0"/>
              <w:jc w:val="center"/>
              <w:rPr>
                <w:rFonts w:ascii="Times New Roman" w:hAnsi="Times New Roman" w:cs="Times New Roman"/>
                <w:sz w:val="18"/>
                <w:szCs w:val="18"/>
              </w:rPr>
            </w:pPr>
            <w:r w:rsidRPr="00F33C14">
              <w:rPr>
                <w:rFonts w:ascii="Times New Roman" w:hAnsi="Times New Roman" w:cs="Times New Roman"/>
                <w:sz w:val="18"/>
                <w:szCs w:val="18"/>
              </w:rPr>
              <w:t>300</w:t>
            </w:r>
          </w:p>
        </w:tc>
        <w:tc>
          <w:tcPr>
            <w:tcW w:w="1985" w:type="dxa"/>
            <w:vAlign w:val="center"/>
          </w:tcPr>
          <w:p w:rsidR="00F33C14" w:rsidRPr="00F33C14" w:rsidRDefault="00F33C14" w:rsidP="00E121D8">
            <w:pPr>
              <w:spacing w:after="0"/>
              <w:jc w:val="center"/>
              <w:rPr>
                <w:rFonts w:ascii="Times New Roman" w:hAnsi="Times New Roman" w:cs="Times New Roman"/>
                <w:color w:val="000000" w:themeColor="text1"/>
                <w:sz w:val="18"/>
                <w:szCs w:val="18"/>
              </w:rPr>
            </w:pPr>
            <w:r w:rsidRPr="00F33C14">
              <w:rPr>
                <w:rFonts w:ascii="Times New Roman" w:hAnsi="Times New Roman" w:cs="Times New Roman"/>
                <w:color w:val="000000" w:themeColor="text1"/>
                <w:sz w:val="18"/>
                <w:szCs w:val="18"/>
              </w:rPr>
              <w:t>1 год либо достижение лимита проверок</w:t>
            </w:r>
          </w:p>
        </w:tc>
        <w:tc>
          <w:tcPr>
            <w:tcW w:w="1417" w:type="dxa"/>
            <w:shd w:val="clear" w:color="auto" w:fill="FFFF00"/>
            <w:vAlign w:val="center"/>
          </w:tcPr>
          <w:p w:rsidR="00F33C14" w:rsidRPr="00F33C14" w:rsidRDefault="00F33C14" w:rsidP="00E121D8">
            <w:pPr>
              <w:spacing w:after="0"/>
              <w:jc w:val="center"/>
              <w:rPr>
                <w:rFonts w:ascii="Times New Roman" w:hAnsi="Times New Roman" w:cs="Times New Roman"/>
                <w:sz w:val="18"/>
                <w:szCs w:val="18"/>
              </w:rPr>
            </w:pPr>
          </w:p>
        </w:tc>
      </w:tr>
      <w:tr w:rsidR="00F33C14" w:rsidRPr="00F33C14" w:rsidTr="00401CDA">
        <w:trPr>
          <w:tblCellSpacing w:w="0" w:type="dxa"/>
        </w:trPr>
        <w:tc>
          <w:tcPr>
            <w:tcW w:w="14089" w:type="dxa"/>
            <w:gridSpan w:val="5"/>
            <w:shd w:val="clear" w:color="auto" w:fill="auto"/>
            <w:noWrap/>
          </w:tcPr>
          <w:p w:rsidR="00F33C14" w:rsidRPr="00F33C14" w:rsidRDefault="00F33C14" w:rsidP="00E121D8">
            <w:pPr>
              <w:spacing w:after="0"/>
              <w:jc w:val="right"/>
              <w:rPr>
                <w:rFonts w:ascii="Times New Roman" w:hAnsi="Times New Roman" w:cs="Times New Roman"/>
                <w:sz w:val="18"/>
                <w:szCs w:val="18"/>
              </w:rPr>
            </w:pPr>
            <w:r w:rsidRPr="00F33C14">
              <w:rPr>
                <w:rFonts w:ascii="Times New Roman" w:hAnsi="Times New Roman" w:cs="Times New Roman"/>
                <w:sz w:val="18"/>
                <w:szCs w:val="18"/>
              </w:rPr>
              <w:t>ИТОГО (руб.)</w:t>
            </w:r>
            <w:r w:rsidRPr="00F33C14">
              <w:rPr>
                <w:rFonts w:ascii="Times New Roman" w:hAnsi="Times New Roman" w:cs="Times New Roman"/>
                <w:sz w:val="18"/>
                <w:szCs w:val="18"/>
                <w:lang w:val="en-US"/>
              </w:rPr>
              <w:t>:</w:t>
            </w:r>
          </w:p>
        </w:tc>
        <w:tc>
          <w:tcPr>
            <w:tcW w:w="1417" w:type="dxa"/>
            <w:shd w:val="clear" w:color="auto" w:fill="FFFF00"/>
            <w:vAlign w:val="center"/>
          </w:tcPr>
          <w:p w:rsidR="00F33C14" w:rsidRPr="00F33C14" w:rsidRDefault="00F33C14" w:rsidP="00E121D8">
            <w:pPr>
              <w:spacing w:after="0"/>
              <w:jc w:val="center"/>
              <w:rPr>
                <w:rFonts w:ascii="Times New Roman" w:hAnsi="Times New Roman" w:cs="Times New Roman"/>
                <w:sz w:val="18"/>
                <w:szCs w:val="18"/>
              </w:rPr>
            </w:pPr>
          </w:p>
        </w:tc>
      </w:tr>
    </w:tbl>
    <w:p w:rsidR="00F33C14" w:rsidRDefault="00F33C14" w:rsidP="00E52880">
      <w:pPr>
        <w:pStyle w:val="a7"/>
        <w:widowControl w:val="0"/>
        <w:spacing w:after="0"/>
        <w:ind w:left="644"/>
        <w:jc w:val="center"/>
        <w:rPr>
          <w:rFonts w:ascii="Times New Roman" w:hAnsi="Times New Roman"/>
          <w:b/>
          <w:sz w:val="24"/>
          <w:szCs w:val="26"/>
        </w:rPr>
      </w:pPr>
    </w:p>
    <w:p w:rsidR="00F33C14" w:rsidRPr="000437D6" w:rsidRDefault="00F33C14" w:rsidP="00E52880">
      <w:pPr>
        <w:pStyle w:val="a7"/>
        <w:widowControl w:val="0"/>
        <w:spacing w:after="0"/>
        <w:ind w:left="644"/>
        <w:jc w:val="center"/>
        <w:rPr>
          <w:rFonts w:ascii="Times New Roman" w:eastAsia="Courier New" w:hAnsi="Times New Roman" w:cs="Times New Roman"/>
          <w:b/>
        </w:rPr>
      </w:pPr>
    </w:p>
    <w:p w:rsidR="00170252" w:rsidRDefault="00170252" w:rsidP="000820E3">
      <w:pPr>
        <w:rPr>
          <w:rFonts w:ascii="Times New Roman" w:hAnsi="Times New Roman" w:cs="Times New Roman"/>
          <w:b/>
          <w:sz w:val="28"/>
          <w:szCs w:val="28"/>
        </w:rPr>
      </w:pPr>
    </w:p>
    <w:sectPr w:rsidR="00170252" w:rsidSect="00F33C14">
      <w:headerReference w:type="first" r:id="rId19"/>
      <w:footerReference w:type="first" r:id="rId20"/>
      <w:pgSz w:w="16838" w:h="11906" w:orient="landscape"/>
      <w:pgMar w:top="568"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592" w:rsidRDefault="00157592">
      <w:pPr>
        <w:spacing w:after="0" w:line="240" w:lineRule="auto"/>
      </w:pPr>
      <w:r>
        <w:separator/>
      </w:r>
    </w:p>
  </w:endnote>
  <w:endnote w:type="continuationSeparator" w:id="0">
    <w:p w:rsidR="00157592" w:rsidRDefault="00157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80B18" w:rsidRDefault="00B80B18">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80B18">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80B18">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80B18">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80B18">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80B18">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A47D16">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592" w:rsidRDefault="00157592">
      <w:pPr>
        <w:spacing w:after="0" w:line="240" w:lineRule="auto"/>
      </w:pPr>
      <w:r>
        <w:separator/>
      </w:r>
    </w:p>
  </w:footnote>
  <w:footnote w:type="continuationSeparator" w:id="0">
    <w:p w:rsidR="00157592" w:rsidRDefault="00157592">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80B18" w:rsidRDefault="00B80B18">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80B18" w:rsidRDefault="00B80B18">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80B18" w:rsidRDefault="00B80B18">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15576"/>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57592"/>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1CDA"/>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47D1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0B18"/>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6471A"/>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3C14"/>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9BACF-02C5-4166-A927-5B449CB0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1153</Words>
  <Characters>6576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2022-01-26T13:22:00Z</dcterms:created>
  <dcterms:modified xsi:type="dcterms:W3CDTF">2022-01-26T13:22:00Z</dcterms:modified>
</cp:coreProperties>
</file>