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23.06.2026 № 21.1-03/1335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86F3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65AF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камер видеонаблюдения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65AF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65AF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65AF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65AF1">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711" w:type="dxa"/>
        <w:tblInd w:w="-5" w:type="dxa"/>
        <w:tblLayout w:type="fixed"/>
        <w:tblLook w:val="04A0" w:firstRow="1" w:lastRow="0" w:firstColumn="1" w:lastColumn="0" w:noHBand="0" w:noVBand="1"/>
      </w:tblPr>
      <w:tblGrid>
        <w:gridCol w:w="397"/>
        <w:gridCol w:w="1422"/>
        <w:gridCol w:w="1139"/>
        <w:gridCol w:w="1129"/>
        <w:gridCol w:w="2558"/>
        <w:gridCol w:w="1559"/>
        <w:gridCol w:w="1276"/>
        <w:gridCol w:w="1695"/>
        <w:gridCol w:w="709"/>
        <w:gridCol w:w="708"/>
        <w:gridCol w:w="1134"/>
        <w:gridCol w:w="993"/>
        <w:gridCol w:w="992"/>
      </w:tblGrid>
      <w:tr w:rsidR="00E65AF1" w:rsidRPr="00861063" w:rsidTr="00110539">
        <w:tc>
          <w:tcPr>
            <w:tcW w:w="397" w:type="dxa"/>
            <w:vMerge w:val="restart"/>
            <w:vAlign w:val="center"/>
          </w:tcPr>
          <w:p w:rsidR="00E65AF1" w:rsidRPr="00861063" w:rsidRDefault="00E65AF1" w:rsidP="00110539">
            <w:pPr>
              <w:ind w:left="-110" w:right="-108"/>
              <w:jc w:val="center"/>
              <w:rPr>
                <w:rFonts w:ascii="Times New Roman" w:hAnsi="Times New Roman" w:cs="Times New Roman"/>
                <w:b/>
                <w:bCs/>
                <w:sz w:val="16"/>
                <w:szCs w:val="16"/>
                <w:lang w:val="en-US"/>
              </w:rPr>
            </w:pPr>
            <w:r w:rsidRPr="00861063">
              <w:rPr>
                <w:rFonts w:ascii="Times New Roman" w:hAnsi="Times New Roman" w:cs="Times New Roman"/>
                <w:b/>
                <w:bCs/>
                <w:sz w:val="16"/>
                <w:szCs w:val="16"/>
              </w:rPr>
              <w:t>№</w:t>
            </w:r>
          </w:p>
        </w:tc>
        <w:tc>
          <w:tcPr>
            <w:tcW w:w="1422" w:type="dxa"/>
            <w:vMerge w:val="restart"/>
            <w:vAlign w:val="center"/>
          </w:tcPr>
          <w:p w:rsidR="00E65AF1" w:rsidRPr="00861063" w:rsidRDefault="00E65AF1" w:rsidP="00110539">
            <w:pPr>
              <w:ind w:left="-108" w:right="-108"/>
              <w:jc w:val="center"/>
              <w:rPr>
                <w:rFonts w:ascii="Times New Roman" w:hAnsi="Times New Roman" w:cs="Times New Roman"/>
                <w:b/>
                <w:bCs/>
                <w:sz w:val="16"/>
                <w:szCs w:val="16"/>
              </w:rPr>
            </w:pPr>
            <w:r w:rsidRPr="00861063">
              <w:rPr>
                <w:rFonts w:ascii="Times New Roman" w:hAnsi="Times New Roman" w:cs="Times New Roman"/>
                <w:b/>
                <w:bCs/>
                <w:sz w:val="16"/>
                <w:szCs w:val="16"/>
              </w:rPr>
              <w:t>Наименование товара, работы, услуги</w:t>
            </w:r>
          </w:p>
        </w:tc>
        <w:tc>
          <w:tcPr>
            <w:tcW w:w="1139" w:type="dxa"/>
            <w:vMerge w:val="restart"/>
            <w:vAlign w:val="center"/>
          </w:tcPr>
          <w:p w:rsidR="00E65AF1" w:rsidRPr="00861063" w:rsidRDefault="00E65AF1" w:rsidP="00110539">
            <w:pPr>
              <w:ind w:left="-108" w:right="-108"/>
              <w:jc w:val="center"/>
              <w:rPr>
                <w:rFonts w:ascii="Times New Roman" w:hAnsi="Times New Roman" w:cs="Times New Roman"/>
                <w:b/>
                <w:bCs/>
                <w:sz w:val="16"/>
                <w:szCs w:val="16"/>
              </w:rPr>
            </w:pPr>
            <w:r w:rsidRPr="00861063">
              <w:rPr>
                <w:rFonts w:ascii="Times New Roman" w:hAnsi="Times New Roman" w:cs="Times New Roman"/>
                <w:b/>
                <w:bCs/>
                <w:sz w:val="16"/>
                <w:szCs w:val="16"/>
              </w:rPr>
              <w:t>Код позиции</w:t>
            </w:r>
          </w:p>
        </w:tc>
        <w:tc>
          <w:tcPr>
            <w:tcW w:w="1129" w:type="dxa"/>
            <w:vMerge w:val="restart"/>
            <w:vAlign w:val="center"/>
          </w:tcPr>
          <w:p w:rsidR="00E65AF1" w:rsidRPr="00861063" w:rsidRDefault="00E65AF1" w:rsidP="00110539">
            <w:pPr>
              <w:ind w:left="-108" w:right="-108"/>
              <w:jc w:val="center"/>
              <w:rPr>
                <w:rFonts w:ascii="Times New Roman" w:hAnsi="Times New Roman" w:cs="Times New Roman"/>
                <w:b/>
                <w:bCs/>
                <w:sz w:val="16"/>
                <w:szCs w:val="16"/>
              </w:rPr>
            </w:pPr>
            <w:r w:rsidRPr="00861063">
              <w:rPr>
                <w:rFonts w:ascii="Times New Roman" w:hAnsi="Times New Roman" w:cs="Times New Roman"/>
                <w:b/>
                <w:bCs/>
                <w:sz w:val="16"/>
                <w:szCs w:val="16"/>
              </w:rPr>
              <w:t>Товарный знак</w:t>
            </w:r>
          </w:p>
        </w:tc>
        <w:tc>
          <w:tcPr>
            <w:tcW w:w="7088" w:type="dxa"/>
            <w:gridSpan w:val="4"/>
            <w:vAlign w:val="center"/>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Характеристики товара, работы, услуги</w:t>
            </w:r>
          </w:p>
        </w:tc>
        <w:tc>
          <w:tcPr>
            <w:tcW w:w="709" w:type="dxa"/>
            <w:vMerge w:val="restart"/>
            <w:vAlign w:val="center"/>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Кол-во</w:t>
            </w:r>
          </w:p>
          <w:p w:rsidR="00E65AF1" w:rsidRPr="00861063" w:rsidRDefault="00E65AF1" w:rsidP="00110539">
            <w:pPr>
              <w:jc w:val="center"/>
              <w:rPr>
                <w:rFonts w:ascii="Times New Roman" w:hAnsi="Times New Roman" w:cs="Times New Roman"/>
                <w:b/>
                <w:bCs/>
                <w:sz w:val="16"/>
                <w:szCs w:val="16"/>
              </w:rPr>
            </w:pPr>
          </w:p>
        </w:tc>
        <w:tc>
          <w:tcPr>
            <w:tcW w:w="708" w:type="dxa"/>
            <w:vMerge w:val="restart"/>
            <w:vAlign w:val="center"/>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Ед. изм.</w:t>
            </w:r>
          </w:p>
        </w:tc>
        <w:tc>
          <w:tcPr>
            <w:tcW w:w="1134" w:type="dxa"/>
            <w:vMerge w:val="restart"/>
            <w:shd w:val="clear" w:color="auto" w:fill="FFFF00"/>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Страна происхождения</w:t>
            </w:r>
          </w:p>
        </w:tc>
        <w:tc>
          <w:tcPr>
            <w:tcW w:w="993" w:type="dxa"/>
            <w:vMerge w:val="restart"/>
            <w:shd w:val="clear" w:color="auto" w:fill="FFFF00"/>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Цена за ед. (руб.)</w:t>
            </w:r>
          </w:p>
        </w:tc>
        <w:tc>
          <w:tcPr>
            <w:tcW w:w="992" w:type="dxa"/>
            <w:vMerge w:val="restart"/>
            <w:shd w:val="clear" w:color="auto" w:fill="FFFF00"/>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Сумма (руб.)</w:t>
            </w: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vAlign w:val="center"/>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Наименование характеристики</w:t>
            </w:r>
          </w:p>
        </w:tc>
        <w:tc>
          <w:tcPr>
            <w:tcW w:w="1559" w:type="dxa"/>
            <w:vAlign w:val="center"/>
          </w:tcPr>
          <w:p w:rsidR="00E65AF1" w:rsidRPr="00861063" w:rsidRDefault="00E65AF1" w:rsidP="00110539">
            <w:pPr>
              <w:jc w:val="center"/>
              <w:rPr>
                <w:rFonts w:ascii="Times New Roman" w:hAnsi="Times New Roman" w:cs="Times New Roman"/>
                <w:b/>
                <w:bCs/>
                <w:sz w:val="16"/>
                <w:szCs w:val="16"/>
              </w:rPr>
            </w:pPr>
            <w:r w:rsidRPr="00861063">
              <w:rPr>
                <w:rFonts w:ascii="Times New Roman" w:hAnsi="Times New Roman" w:cs="Times New Roman"/>
                <w:b/>
                <w:bCs/>
                <w:sz w:val="16"/>
                <w:szCs w:val="16"/>
              </w:rPr>
              <w:t>Значение характеристики</w:t>
            </w:r>
          </w:p>
        </w:tc>
        <w:tc>
          <w:tcPr>
            <w:tcW w:w="1276" w:type="dxa"/>
            <w:vAlign w:val="center"/>
          </w:tcPr>
          <w:p w:rsidR="00E65AF1" w:rsidRPr="00861063" w:rsidRDefault="00E65AF1" w:rsidP="00110539">
            <w:pPr>
              <w:ind w:left="-108" w:right="-104"/>
              <w:jc w:val="center"/>
              <w:rPr>
                <w:rFonts w:ascii="Times New Roman" w:hAnsi="Times New Roman" w:cs="Times New Roman"/>
                <w:b/>
                <w:bCs/>
                <w:sz w:val="16"/>
                <w:szCs w:val="16"/>
              </w:rPr>
            </w:pPr>
            <w:r w:rsidRPr="00861063">
              <w:rPr>
                <w:rFonts w:ascii="Times New Roman" w:hAnsi="Times New Roman" w:cs="Times New Roman"/>
                <w:b/>
                <w:bCs/>
                <w:sz w:val="16"/>
                <w:szCs w:val="16"/>
              </w:rPr>
              <w:t>Единица измерения характеристики</w:t>
            </w:r>
          </w:p>
        </w:tc>
        <w:tc>
          <w:tcPr>
            <w:tcW w:w="1695" w:type="dxa"/>
            <w:vAlign w:val="center"/>
          </w:tcPr>
          <w:p w:rsidR="00E65AF1" w:rsidRPr="00861063" w:rsidRDefault="00E65AF1" w:rsidP="00110539">
            <w:pPr>
              <w:ind w:left="-108" w:right="-76"/>
              <w:jc w:val="center"/>
              <w:rPr>
                <w:rFonts w:ascii="Times New Roman" w:hAnsi="Times New Roman" w:cs="Times New Roman"/>
                <w:b/>
                <w:bCs/>
                <w:sz w:val="16"/>
                <w:szCs w:val="16"/>
              </w:rPr>
            </w:pPr>
            <w:r w:rsidRPr="00861063">
              <w:rPr>
                <w:rFonts w:ascii="Times New Roman" w:hAnsi="Times New Roman" w:cs="Times New Roman"/>
                <w:b/>
                <w:bCs/>
                <w:sz w:val="16"/>
                <w:szCs w:val="16"/>
              </w:rPr>
              <w:t>Инструкция по заполнению характеристик в заявке</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restart"/>
          </w:tcPr>
          <w:p w:rsidR="00E65AF1" w:rsidRPr="00861063" w:rsidRDefault="00E65AF1" w:rsidP="00110539">
            <w:pPr>
              <w:ind w:left="-110" w:right="-108"/>
              <w:jc w:val="center"/>
              <w:rPr>
                <w:rFonts w:ascii="Times New Roman" w:hAnsi="Times New Roman" w:cs="Times New Roman"/>
                <w:sz w:val="16"/>
                <w:szCs w:val="16"/>
                <w:lang w:val="en-US"/>
              </w:rPr>
            </w:pPr>
            <w:r w:rsidRPr="00861063">
              <w:rPr>
                <w:rFonts w:ascii="Times New Roman" w:hAnsi="Times New Roman" w:cs="Times New Roman"/>
                <w:sz w:val="16"/>
                <w:szCs w:val="16"/>
              </w:rPr>
              <w:t>1</w:t>
            </w:r>
          </w:p>
        </w:tc>
        <w:tc>
          <w:tcPr>
            <w:tcW w:w="1422" w:type="dxa"/>
            <w:vMerge w:val="restart"/>
          </w:tcPr>
          <w:p w:rsidR="00E65AF1" w:rsidRPr="00861063" w:rsidRDefault="00E65AF1" w:rsidP="00110539">
            <w:pPr>
              <w:ind w:right="-108"/>
              <w:rPr>
                <w:rFonts w:ascii="Times New Roman" w:hAnsi="Times New Roman" w:cs="Times New Roman"/>
                <w:sz w:val="16"/>
                <w:szCs w:val="16"/>
              </w:rPr>
            </w:pPr>
            <w:r w:rsidRPr="00861063">
              <w:rPr>
                <w:rFonts w:ascii="Times New Roman" w:hAnsi="Times New Roman" w:cs="Times New Roman"/>
                <w:sz w:val="16"/>
                <w:szCs w:val="16"/>
              </w:rPr>
              <w:t>Камера видеонаблюдения</w:t>
            </w:r>
          </w:p>
        </w:tc>
        <w:tc>
          <w:tcPr>
            <w:tcW w:w="1139" w:type="dxa"/>
            <w:vMerge w:val="restart"/>
          </w:tcPr>
          <w:p w:rsidR="00E65AF1" w:rsidRPr="00861063" w:rsidRDefault="00E65AF1" w:rsidP="00110539">
            <w:pPr>
              <w:ind w:left="-108" w:right="-108"/>
              <w:jc w:val="center"/>
              <w:rPr>
                <w:rFonts w:ascii="Times New Roman" w:hAnsi="Times New Roman" w:cs="Times New Roman"/>
                <w:sz w:val="16"/>
                <w:szCs w:val="16"/>
              </w:rPr>
            </w:pPr>
            <w:r w:rsidRPr="00861063">
              <w:rPr>
                <w:rFonts w:ascii="Times New Roman" w:hAnsi="Times New Roman" w:cs="Times New Roman"/>
                <w:sz w:val="16"/>
                <w:szCs w:val="16"/>
              </w:rPr>
              <w:t>26.70.13.000-00000008</w:t>
            </w:r>
          </w:p>
        </w:tc>
        <w:tc>
          <w:tcPr>
            <w:tcW w:w="1129" w:type="dxa"/>
            <w:vMerge w:val="restart"/>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Дальность подсветки</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30</w:t>
            </w:r>
          </w:p>
        </w:tc>
        <w:tc>
          <w:tcPr>
            <w:tcW w:w="1276" w:type="dxa"/>
          </w:tcPr>
          <w:p w:rsidR="00E65AF1" w:rsidRPr="00861063" w:rsidRDefault="00E65AF1" w:rsidP="00110539">
            <w:pPr>
              <w:ind w:left="-108" w:right="-104"/>
              <w:jc w:val="center"/>
              <w:rPr>
                <w:rFonts w:ascii="Times New Roman" w:hAnsi="Times New Roman" w:cs="Times New Roman"/>
                <w:sz w:val="16"/>
                <w:szCs w:val="16"/>
              </w:rPr>
            </w:pPr>
            <w:r w:rsidRPr="00861063">
              <w:rPr>
                <w:rFonts w:ascii="Times New Roman" w:hAnsi="Times New Roman" w:cs="Times New Roman"/>
                <w:sz w:val="16"/>
                <w:szCs w:val="16"/>
              </w:rPr>
              <w:t>Метр</w:t>
            </w:r>
          </w:p>
        </w:tc>
        <w:tc>
          <w:tcPr>
            <w:tcW w:w="1695" w:type="dxa"/>
          </w:tcPr>
          <w:p w:rsidR="00E65AF1" w:rsidRPr="00861063" w:rsidRDefault="00E65AF1" w:rsidP="00110539">
            <w:pPr>
              <w:ind w:left="-108" w:right="-76"/>
              <w:jc w:val="center"/>
              <w:rPr>
                <w:rFonts w:ascii="Times New Roman" w:hAnsi="Times New Roman" w:cs="Times New Roman"/>
                <w:color w:val="EE0000"/>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restart"/>
          </w:tcPr>
          <w:p w:rsidR="00E65AF1" w:rsidRPr="00861063" w:rsidRDefault="00E65AF1" w:rsidP="00110539">
            <w:pPr>
              <w:jc w:val="center"/>
              <w:rPr>
                <w:rFonts w:ascii="Times New Roman" w:hAnsi="Times New Roman" w:cs="Times New Roman"/>
                <w:sz w:val="16"/>
                <w:szCs w:val="16"/>
              </w:rPr>
            </w:pPr>
            <w:r>
              <w:rPr>
                <w:rFonts w:ascii="Times New Roman" w:hAnsi="Times New Roman" w:cs="Times New Roman"/>
                <w:sz w:val="16"/>
                <w:szCs w:val="16"/>
              </w:rPr>
              <w:t>11</w:t>
            </w:r>
          </w:p>
        </w:tc>
        <w:tc>
          <w:tcPr>
            <w:tcW w:w="708" w:type="dxa"/>
            <w:vMerge w:val="restart"/>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Штука</w:t>
            </w:r>
          </w:p>
        </w:tc>
        <w:tc>
          <w:tcPr>
            <w:tcW w:w="1134" w:type="dxa"/>
            <w:vMerge w:val="restart"/>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val="restart"/>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val="restart"/>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Исполнение</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xml:space="preserve">          Внутренняя</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color w:val="EE0000"/>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tcPr>
          <w:p w:rsidR="00E65AF1" w:rsidRPr="00861063" w:rsidRDefault="00E65AF1" w:rsidP="00110539">
            <w:pPr>
              <w:jc w:val="center"/>
              <w:rPr>
                <w:rFonts w:ascii="Times New Roman" w:hAnsi="Times New Roman" w:cs="Times New Roman"/>
                <w:sz w:val="16"/>
                <w:szCs w:val="16"/>
              </w:rPr>
            </w:pPr>
          </w:p>
        </w:tc>
        <w:tc>
          <w:tcPr>
            <w:tcW w:w="708" w:type="dxa"/>
            <w:vMerge/>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Количество независимых видеопотоков</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2</w:t>
            </w:r>
          </w:p>
        </w:tc>
        <w:tc>
          <w:tcPr>
            <w:tcW w:w="1276" w:type="dxa"/>
          </w:tcPr>
          <w:p w:rsidR="00E65AF1" w:rsidRPr="00861063" w:rsidRDefault="00E65AF1" w:rsidP="00110539">
            <w:pPr>
              <w:ind w:left="-108" w:right="-104"/>
              <w:jc w:val="center"/>
              <w:rPr>
                <w:rFonts w:ascii="Times New Roman" w:hAnsi="Times New Roman" w:cs="Times New Roman"/>
                <w:sz w:val="16"/>
                <w:szCs w:val="16"/>
              </w:rPr>
            </w:pPr>
            <w:r w:rsidRPr="00861063">
              <w:rPr>
                <w:rFonts w:ascii="Times New Roman" w:hAnsi="Times New Roman" w:cs="Times New Roman"/>
                <w:sz w:val="16"/>
                <w:szCs w:val="16"/>
              </w:rPr>
              <w:t>Штука</w:t>
            </w:r>
          </w:p>
        </w:tc>
        <w:tc>
          <w:tcPr>
            <w:tcW w:w="1695" w:type="dxa"/>
          </w:tcPr>
          <w:p w:rsidR="00E65AF1" w:rsidRPr="00861063" w:rsidRDefault="00E65AF1" w:rsidP="00110539">
            <w:pPr>
              <w:ind w:left="-108" w:right="-76"/>
              <w:jc w:val="center"/>
              <w:rPr>
                <w:rFonts w:ascii="Times New Roman" w:hAnsi="Times New Roman" w:cs="Times New Roman"/>
                <w:color w:val="EE0000"/>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tcPr>
          <w:p w:rsidR="00E65AF1" w:rsidRPr="00861063" w:rsidRDefault="00E65AF1" w:rsidP="00110539">
            <w:pPr>
              <w:jc w:val="center"/>
              <w:rPr>
                <w:rFonts w:ascii="Times New Roman" w:hAnsi="Times New Roman" w:cs="Times New Roman"/>
                <w:sz w:val="16"/>
                <w:szCs w:val="16"/>
              </w:rPr>
            </w:pPr>
          </w:p>
        </w:tc>
        <w:tc>
          <w:tcPr>
            <w:tcW w:w="708" w:type="dxa"/>
            <w:vMerge/>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Максимальная рабочая температура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+ 60</w:t>
            </w:r>
          </w:p>
        </w:tc>
        <w:tc>
          <w:tcPr>
            <w:tcW w:w="1276" w:type="dxa"/>
          </w:tcPr>
          <w:p w:rsidR="00E65AF1" w:rsidRPr="00861063" w:rsidRDefault="00E65AF1" w:rsidP="00110539">
            <w:pPr>
              <w:ind w:left="-108" w:right="-104"/>
              <w:jc w:val="center"/>
              <w:rPr>
                <w:rFonts w:ascii="Times New Roman" w:hAnsi="Times New Roman" w:cs="Times New Roman"/>
                <w:sz w:val="16"/>
                <w:szCs w:val="16"/>
              </w:rPr>
            </w:pPr>
            <w:r w:rsidRPr="00861063">
              <w:rPr>
                <w:rFonts w:ascii="Times New Roman" w:hAnsi="Times New Roman" w:cs="Times New Roman"/>
                <w:sz w:val="16"/>
                <w:szCs w:val="16"/>
              </w:rPr>
              <w:t>градус Цельсия</w:t>
            </w: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Максимальный угол обзора по вертикали, градус</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4</w:t>
            </w:r>
            <w:r>
              <w:rPr>
                <w:rFonts w:ascii="Times New Roman" w:hAnsi="Times New Roman" w:cs="Times New Roman"/>
                <w:sz w:val="16"/>
                <w:szCs w:val="16"/>
              </w:rPr>
              <w:t>0</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Максимальный угол обзора по горизонтали, градус</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xml:space="preserve">≥ </w:t>
            </w:r>
            <w:r>
              <w:rPr>
                <w:rFonts w:ascii="Times New Roman" w:hAnsi="Times New Roman" w:cs="Times New Roman"/>
                <w:sz w:val="16"/>
                <w:szCs w:val="16"/>
              </w:rPr>
              <w:t>95</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Материал корпуса (кожуха)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Металлический</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Минимальная рабочая температура</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861063">
              <w:rPr>
                <w:rFonts w:ascii="Times New Roman" w:hAnsi="Times New Roman" w:cs="Times New Roman"/>
                <w:sz w:val="16"/>
                <w:szCs w:val="16"/>
              </w:rPr>
              <w:t>≤ -40</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r w:rsidRPr="00861063">
              <w:rPr>
                <w:rFonts w:ascii="Times New Roman" w:hAnsi="Times New Roman" w:cs="Times New Roman"/>
                <w:sz w:val="16"/>
                <w:szCs w:val="16"/>
              </w:rPr>
              <w:t>градус Цельсия</w:t>
            </w: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Ночная съемка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Да</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Поддержка PoE</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2F1440">
              <w:rPr>
                <w:rFonts w:ascii="Times New Roman" w:hAnsi="Times New Roman" w:cs="Times New Roman"/>
                <w:sz w:val="16"/>
                <w:szCs w:val="16"/>
              </w:rPr>
              <w:t>IEEE 802.3af (PoE)</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lang w:val="en-US"/>
              </w:rPr>
            </w:pPr>
            <w:r w:rsidRPr="00861063">
              <w:rPr>
                <w:rFonts w:ascii="Times New Roman" w:hAnsi="Times New Roman" w:cs="Times New Roman"/>
                <w:sz w:val="16"/>
                <w:szCs w:val="16"/>
              </w:rPr>
              <w:t>Поддержка видеокодеков</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861063">
              <w:rPr>
                <w:rFonts w:ascii="Times New Roman" w:hAnsi="Times New Roman" w:cs="Times New Roman"/>
                <w:sz w:val="16"/>
                <w:szCs w:val="16"/>
                <w:lang w:val="en-US"/>
              </w:rPr>
              <w:t>H.264 Main Profile, H.264 Baseline Profile, H.264 High Profile, H.265, MJPEG</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lang w:val="en-US"/>
              </w:rPr>
              <w:t>Поддержка карт памяти</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861063">
              <w:rPr>
                <w:rFonts w:ascii="Times New Roman" w:hAnsi="Times New Roman" w:cs="Times New Roman"/>
                <w:sz w:val="16"/>
                <w:szCs w:val="16"/>
                <w:lang w:val="en-US"/>
              </w:rPr>
              <w:t xml:space="preserve">microSDXC </w:t>
            </w:r>
          </w:p>
          <w:p w:rsidR="00E65AF1" w:rsidRPr="00861063" w:rsidRDefault="00E65AF1" w:rsidP="00110539">
            <w:pPr>
              <w:jc w:val="center"/>
              <w:rPr>
                <w:rFonts w:ascii="Times New Roman" w:hAnsi="Times New Roman" w:cs="Times New Roman"/>
                <w:sz w:val="16"/>
                <w:szCs w:val="16"/>
              </w:rPr>
            </w:pP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Поддержка сетевого протокола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lang w:val="en-US"/>
              </w:rPr>
              <w:t>IPv4, DHCP</w:t>
            </w:r>
            <w:r w:rsidRPr="00861063">
              <w:rPr>
                <w:rFonts w:ascii="Times New Roman" w:hAnsi="Times New Roman" w:cs="Times New Roman"/>
                <w:sz w:val="16"/>
                <w:szCs w:val="16"/>
              </w:rPr>
              <w:t>, RTSP, ONVIF</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lang w:val="en-US"/>
              </w:rPr>
            </w:pPr>
            <w:r w:rsidRPr="00861063">
              <w:rPr>
                <w:rFonts w:ascii="Times New Roman" w:hAnsi="Times New Roman" w:cs="Times New Roman"/>
                <w:sz w:val="16"/>
                <w:szCs w:val="16"/>
              </w:rPr>
              <w:t>Разрешение дополнительного видеопотока</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861063">
              <w:rPr>
                <w:rFonts w:ascii="Times New Roman" w:hAnsi="Times New Roman" w:cs="Times New Roman"/>
                <w:sz w:val="16"/>
                <w:szCs w:val="16"/>
                <w:lang w:val="en-US"/>
              </w:rPr>
              <w:t>≥ 1280x720</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Разрешение основного видеопотока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2560x1440</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lang w:val="en-US"/>
              </w:rPr>
              <w:t>Разъемы</w:t>
            </w:r>
          </w:p>
        </w:tc>
        <w:tc>
          <w:tcPr>
            <w:tcW w:w="1559" w:type="dxa"/>
          </w:tcPr>
          <w:p w:rsidR="00E65AF1" w:rsidRPr="00861063" w:rsidRDefault="00E65AF1" w:rsidP="00110539">
            <w:pPr>
              <w:jc w:val="center"/>
              <w:rPr>
                <w:rFonts w:ascii="Times New Roman" w:hAnsi="Times New Roman" w:cs="Times New Roman"/>
                <w:sz w:val="16"/>
                <w:szCs w:val="16"/>
                <w:lang w:val="en-US"/>
              </w:rPr>
            </w:pPr>
            <w:r w:rsidRPr="00861063">
              <w:rPr>
                <w:rFonts w:ascii="Times New Roman" w:hAnsi="Times New Roman" w:cs="Times New Roman"/>
                <w:sz w:val="16"/>
                <w:szCs w:val="16"/>
                <w:lang w:val="en-US"/>
              </w:rPr>
              <w:t>Порт RJ-45</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lang w:val="en-US"/>
              </w:rPr>
            </w:pPr>
            <w:r w:rsidRPr="00861063">
              <w:rPr>
                <w:rFonts w:ascii="Times New Roman" w:hAnsi="Times New Roman" w:cs="Times New Roman"/>
                <w:sz w:val="16"/>
                <w:szCs w:val="16"/>
                <w:lang w:val="en-US"/>
              </w:rPr>
              <w:t>Светочувствительность</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lang w:val="en-US"/>
              </w:rPr>
              <w:t>≥ 0 и &lt; 1</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r w:rsidRPr="00861063">
              <w:rPr>
                <w:rFonts w:ascii="Times New Roman" w:hAnsi="Times New Roman" w:cs="Times New Roman"/>
                <w:sz w:val="16"/>
                <w:szCs w:val="16"/>
                <w:lang w:val="en-US"/>
              </w:rPr>
              <w:t>Люкс</w:t>
            </w: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lang w:val="en-US"/>
              </w:rPr>
            </w:pPr>
            <w:r w:rsidRPr="00861063">
              <w:rPr>
                <w:rFonts w:ascii="Times New Roman" w:hAnsi="Times New Roman" w:cs="Times New Roman"/>
                <w:sz w:val="16"/>
                <w:szCs w:val="16"/>
                <w:lang w:val="en-US"/>
              </w:rPr>
              <w:t>Съемка и возможности</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Встроенная видеоаналитика, Съемка ночная, Запись на карту памяти</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Тип камеры</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Цифровая</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Тип конструкции камеры</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Купольная</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sz w:val="16"/>
                <w:szCs w:val="16"/>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Тип объектива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Фиксированный (монофокальный)</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rPr>
          <w:trHeight w:val="349"/>
        </w:trPr>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Тип передачи сигнала</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Проводной</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Функции и возможности</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Настройка частоты смены кадров видеопотоков, Настройка кодека, Возможность отправки уведомлений, Слот для карты памяти, Шумопо</w:t>
            </w:r>
            <w:r>
              <w:rPr>
                <w:rFonts w:ascii="Times New Roman" w:hAnsi="Times New Roman" w:cs="Times New Roman"/>
                <w:sz w:val="16"/>
                <w:szCs w:val="16"/>
              </w:rPr>
              <w:t>давление, Режим BLC, Режим HLC</w:t>
            </w:r>
            <w:r w:rsidRPr="00861063">
              <w:rPr>
                <w:rFonts w:ascii="Times New Roman" w:hAnsi="Times New Roman" w:cs="Times New Roman"/>
                <w:sz w:val="16"/>
                <w:szCs w:val="16"/>
              </w:rPr>
              <w:t>, ИК-подсветка, Встроенный микрофон</w:t>
            </w:r>
            <w:r>
              <w:rPr>
                <w:rFonts w:ascii="Times New Roman" w:hAnsi="Times New Roman" w:cs="Times New Roman"/>
                <w:sz w:val="16"/>
                <w:szCs w:val="16"/>
              </w:rPr>
              <w:t>,</w:t>
            </w:r>
            <w:r w:rsidRPr="00861063">
              <w:rPr>
                <w:rFonts w:ascii="Times New Roman" w:hAnsi="Times New Roman" w:cs="Times New Roman"/>
                <w:sz w:val="16"/>
                <w:szCs w:val="16"/>
              </w:rPr>
              <w:t xml:space="preserve"> Режим WDR, Встраиваемый детектор движения, , Антивандальная</w:t>
            </w:r>
          </w:p>
        </w:tc>
        <w:tc>
          <w:tcPr>
            <w:tcW w:w="1276" w:type="dxa"/>
          </w:tcPr>
          <w:p w:rsidR="00E65AF1" w:rsidRPr="00861063" w:rsidRDefault="00E65AF1" w:rsidP="00110539">
            <w:pPr>
              <w:ind w:left="-108" w:right="-104"/>
              <w:jc w:val="center"/>
              <w:rPr>
                <w:rFonts w:ascii="Times New Roman" w:hAnsi="Times New Roman" w:cs="Times New Roman"/>
                <w:sz w:val="16"/>
                <w:szCs w:val="16"/>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Частота кадров (кадр/сек)</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25</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r w:rsidR="00E65AF1" w:rsidRPr="00861063" w:rsidTr="00110539">
        <w:tc>
          <w:tcPr>
            <w:tcW w:w="397" w:type="dxa"/>
            <w:vMerge/>
            <w:vAlign w:val="center"/>
          </w:tcPr>
          <w:p w:rsidR="00E65AF1" w:rsidRPr="00861063" w:rsidRDefault="00E65AF1" w:rsidP="00110539">
            <w:pPr>
              <w:ind w:left="-110" w:right="-108"/>
              <w:jc w:val="center"/>
              <w:rPr>
                <w:rFonts w:ascii="Times New Roman" w:hAnsi="Times New Roman" w:cs="Times New Roman"/>
                <w:sz w:val="16"/>
                <w:szCs w:val="16"/>
              </w:rPr>
            </w:pPr>
          </w:p>
        </w:tc>
        <w:tc>
          <w:tcPr>
            <w:tcW w:w="1422"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3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1129" w:type="dxa"/>
            <w:vMerge/>
            <w:vAlign w:val="center"/>
          </w:tcPr>
          <w:p w:rsidR="00E65AF1" w:rsidRPr="00861063" w:rsidRDefault="00E65AF1" w:rsidP="00110539">
            <w:pPr>
              <w:ind w:left="-108" w:right="-108"/>
              <w:jc w:val="center"/>
              <w:rPr>
                <w:rFonts w:ascii="Times New Roman" w:hAnsi="Times New Roman" w:cs="Times New Roman"/>
                <w:sz w:val="16"/>
                <w:szCs w:val="16"/>
              </w:rPr>
            </w:pPr>
          </w:p>
        </w:tc>
        <w:tc>
          <w:tcPr>
            <w:tcW w:w="2558" w:type="dxa"/>
          </w:tcPr>
          <w:p w:rsidR="00E65AF1" w:rsidRPr="00861063" w:rsidRDefault="00E65AF1" w:rsidP="00110539">
            <w:pPr>
              <w:rPr>
                <w:rFonts w:ascii="Times New Roman" w:hAnsi="Times New Roman" w:cs="Times New Roman"/>
                <w:sz w:val="16"/>
                <w:szCs w:val="16"/>
              </w:rPr>
            </w:pPr>
            <w:r w:rsidRPr="00861063">
              <w:rPr>
                <w:rFonts w:ascii="Times New Roman" w:hAnsi="Times New Roman" w:cs="Times New Roman"/>
                <w:sz w:val="16"/>
                <w:szCs w:val="16"/>
              </w:rPr>
              <w:t>Число мегапикселей матрицы</w:t>
            </w:r>
          </w:p>
        </w:tc>
        <w:tc>
          <w:tcPr>
            <w:tcW w:w="1559" w:type="dxa"/>
          </w:tcPr>
          <w:p w:rsidR="00E65AF1" w:rsidRPr="00861063" w:rsidRDefault="00E65AF1" w:rsidP="00110539">
            <w:pPr>
              <w:jc w:val="center"/>
              <w:rPr>
                <w:rFonts w:ascii="Times New Roman" w:hAnsi="Times New Roman" w:cs="Times New Roman"/>
                <w:sz w:val="16"/>
                <w:szCs w:val="16"/>
              </w:rPr>
            </w:pPr>
            <w:r w:rsidRPr="00861063">
              <w:rPr>
                <w:rFonts w:ascii="Times New Roman" w:hAnsi="Times New Roman" w:cs="Times New Roman"/>
                <w:sz w:val="16"/>
                <w:szCs w:val="16"/>
              </w:rPr>
              <w:t>≥ 4  и  &lt; 8</w:t>
            </w:r>
          </w:p>
        </w:tc>
        <w:tc>
          <w:tcPr>
            <w:tcW w:w="1276" w:type="dxa"/>
          </w:tcPr>
          <w:p w:rsidR="00E65AF1" w:rsidRPr="00861063" w:rsidRDefault="00E65AF1" w:rsidP="00110539">
            <w:pPr>
              <w:ind w:left="-108" w:right="-104"/>
              <w:jc w:val="center"/>
              <w:rPr>
                <w:rFonts w:ascii="Times New Roman" w:hAnsi="Times New Roman" w:cs="Times New Roman"/>
                <w:sz w:val="16"/>
                <w:szCs w:val="16"/>
                <w:lang w:val="en-US"/>
              </w:rPr>
            </w:pPr>
          </w:p>
        </w:tc>
        <w:tc>
          <w:tcPr>
            <w:tcW w:w="1695" w:type="dxa"/>
          </w:tcPr>
          <w:p w:rsidR="00E65AF1" w:rsidRPr="00861063" w:rsidRDefault="00E65AF1" w:rsidP="00110539">
            <w:pPr>
              <w:ind w:left="-108" w:right="-76"/>
              <w:jc w:val="center"/>
              <w:rPr>
                <w:rFonts w:ascii="Times New Roman" w:hAnsi="Times New Roman" w:cs="Times New Roman"/>
                <w:color w:val="000000"/>
                <w:sz w:val="16"/>
                <w:szCs w:val="16"/>
                <w:lang w:eastAsia="ru-RU"/>
              </w:rPr>
            </w:pPr>
            <w:r w:rsidRPr="00861063">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rsidR="00E65AF1" w:rsidRPr="00861063" w:rsidRDefault="00E65AF1" w:rsidP="00110539">
            <w:pPr>
              <w:jc w:val="center"/>
              <w:rPr>
                <w:rFonts w:ascii="Times New Roman" w:hAnsi="Times New Roman" w:cs="Times New Roman"/>
                <w:sz w:val="16"/>
                <w:szCs w:val="16"/>
              </w:rPr>
            </w:pPr>
          </w:p>
        </w:tc>
        <w:tc>
          <w:tcPr>
            <w:tcW w:w="708" w:type="dxa"/>
            <w:vMerge/>
            <w:vAlign w:val="center"/>
          </w:tcPr>
          <w:p w:rsidR="00E65AF1" w:rsidRPr="00861063" w:rsidRDefault="00E65AF1" w:rsidP="00110539">
            <w:pPr>
              <w:jc w:val="center"/>
              <w:rPr>
                <w:rFonts w:ascii="Times New Roman" w:hAnsi="Times New Roman" w:cs="Times New Roman"/>
                <w:sz w:val="16"/>
                <w:szCs w:val="16"/>
              </w:rPr>
            </w:pPr>
          </w:p>
        </w:tc>
        <w:tc>
          <w:tcPr>
            <w:tcW w:w="1134"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3" w:type="dxa"/>
            <w:vMerge/>
            <w:shd w:val="clear" w:color="auto" w:fill="FFFF00"/>
          </w:tcPr>
          <w:p w:rsidR="00E65AF1" w:rsidRPr="00861063" w:rsidRDefault="00E65AF1" w:rsidP="00110539">
            <w:pPr>
              <w:jc w:val="center"/>
              <w:rPr>
                <w:rFonts w:ascii="Times New Roman" w:hAnsi="Times New Roman" w:cs="Times New Roman"/>
                <w:sz w:val="16"/>
                <w:szCs w:val="16"/>
              </w:rPr>
            </w:pPr>
          </w:p>
        </w:tc>
        <w:tc>
          <w:tcPr>
            <w:tcW w:w="992" w:type="dxa"/>
            <w:vMerge/>
            <w:shd w:val="clear" w:color="auto" w:fill="FFFF00"/>
          </w:tcPr>
          <w:p w:rsidR="00E65AF1" w:rsidRPr="00861063" w:rsidRDefault="00E65AF1" w:rsidP="00110539">
            <w:pPr>
              <w:jc w:val="center"/>
              <w:rPr>
                <w:rFonts w:ascii="Times New Roman" w:hAnsi="Times New Roman" w:cs="Times New Roman"/>
                <w:sz w:val="16"/>
                <w:szCs w:val="16"/>
              </w:rPr>
            </w:pPr>
          </w:p>
        </w:tc>
      </w:tr>
    </w:tbl>
    <w:p w:rsidR="00E65AF1" w:rsidRPr="000437D6" w:rsidRDefault="00E65AF1" w:rsidP="00E65AF1">
      <w:pPr>
        <w:pStyle w:val="a7"/>
        <w:widowControl w:val="0"/>
        <w:spacing w:after="0"/>
        <w:ind w:left="0"/>
        <w:jc w:val="center"/>
        <w:rPr>
          <w:rFonts w:ascii="Times New Roman" w:eastAsia="Courier New" w:hAnsi="Times New Roman" w:cs="Times New Roman"/>
          <w:b/>
        </w:rPr>
      </w:pPr>
    </w:p>
    <w:p w:rsidR="00E65AF1" w:rsidRPr="00DB741C" w:rsidRDefault="00E65AF1" w:rsidP="00E65AF1">
      <w:pPr>
        <w:tabs>
          <w:tab w:val="left" w:pos="567"/>
        </w:tabs>
        <w:spacing w:after="0" w:line="240" w:lineRule="auto"/>
        <w:ind w:left="-142" w:right="140"/>
        <w:jc w:val="both"/>
        <w:rPr>
          <w:rFonts w:ascii="Times New Roman" w:hAnsi="Times New Roman" w:cs="Times New Roman"/>
          <w:bCs/>
        </w:rPr>
      </w:pPr>
      <w:r w:rsidRPr="00DB741C">
        <w:rPr>
          <w:rFonts w:ascii="Times New Roman" w:hAnsi="Times New Roman" w:cs="Times New Roman"/>
          <w:bCs/>
        </w:rPr>
        <w:t>Независимо от представленных технических характеристик Товар должен быть совместим с программным обеспечением «Macroscop», установленным у Покупателя (согласно письму Минфина РФ от 03.09.2024 № 24-03-09/83434 требование о совместимост</w:t>
      </w:r>
      <w:r>
        <w:rPr>
          <w:rFonts w:ascii="Times New Roman" w:hAnsi="Times New Roman" w:cs="Times New Roman"/>
          <w:bCs/>
        </w:rPr>
        <w:t>и не является характеристикой)</w:t>
      </w:r>
    </w:p>
    <w:p w:rsidR="00170252" w:rsidRDefault="00170252" w:rsidP="000820E3">
      <w:pPr>
        <w:rPr>
          <w:rFonts w:ascii="Times New Roman" w:hAnsi="Times New Roman" w:cs="Times New Roman"/>
          <w:b/>
          <w:sz w:val="28"/>
          <w:szCs w:val="28"/>
        </w:rPr>
      </w:pPr>
    </w:p>
    <w:sectPr w:rsidR="00170252" w:rsidSect="00E65AF1">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E81" w:rsidRDefault="00236E81">
      <w:pPr>
        <w:spacing w:after="0" w:line="240" w:lineRule="auto"/>
      </w:pPr>
      <w:r>
        <w:separator/>
      </w:r>
    </w:p>
  </w:endnote>
  <w:endnote w:type="continuationSeparator" w:id="0">
    <w:p w:rsidR="00236E81" w:rsidRDefault="002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F35" w:rsidRDefault="00386F3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6F3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86F3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6F3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6F3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5AF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6F35">
    <w:pPr>
      <w:pStyle w:val="ab"/>
      <w:jc w:val="right"/>
    </w:pPr>
    <w:sdt>
      <w:sdtPr>
        <w:id w:val="99915693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5AF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E81" w:rsidRDefault="00236E81">
      <w:pPr>
        <w:spacing w:after="0" w:line="240" w:lineRule="auto"/>
      </w:pPr>
      <w:r>
        <w:separator/>
      </w:r>
    </w:p>
  </w:footnote>
  <w:footnote w:type="continuationSeparator" w:id="0">
    <w:p w:rsidR="00236E81" w:rsidRDefault="00236E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F35" w:rsidRDefault="00386F3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F35" w:rsidRDefault="00386F3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F35" w:rsidRDefault="00386F3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6E81"/>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6F35"/>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5AF1"/>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3B3C-BAA9-4167-8A43-0A0D5002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