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05-07/69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16CF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должен быть не менее 12 (двенадцати) месяцев, а если общий срок годности Товара составляет менее 12 (двенадцати) месяцев,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0" w:type="auto"/>
        <w:tblLook w:val="04A0" w:firstRow="1" w:lastRow="0" w:firstColumn="1" w:lastColumn="0" w:noHBand="0" w:noVBand="1"/>
      </w:tblPr>
      <w:tblGrid>
        <w:gridCol w:w="657"/>
        <w:gridCol w:w="1387"/>
        <w:gridCol w:w="2080"/>
        <w:gridCol w:w="2202"/>
        <w:gridCol w:w="1506"/>
        <w:gridCol w:w="1075"/>
        <w:gridCol w:w="1506"/>
        <w:gridCol w:w="786"/>
        <w:gridCol w:w="1075"/>
        <w:gridCol w:w="1499"/>
        <w:gridCol w:w="781"/>
        <w:gridCol w:w="627"/>
        <w:gridCol w:w="768"/>
      </w:tblGrid>
      <w:tr w:rsidR="00E838BB" w:rsidRPr="00E838BB" w:rsidTr="00E838BB">
        <w:trPr>
          <w:trHeight w:val="402"/>
        </w:trPr>
        <w:tc>
          <w:tcPr>
            <w:tcW w:w="458" w:type="dxa"/>
            <w:noWrap/>
            <w:hideMark/>
          </w:tcPr>
          <w:p w:rsidR="00E838BB" w:rsidRPr="00E838BB" w:rsidRDefault="00E838BB">
            <w:pPr>
              <w:rPr>
                <w:rFonts w:ascii="Times New Roman" w:hAnsi="Times New Roman" w:cs="Times New Roman"/>
              </w:rPr>
            </w:pPr>
            <w:r w:rsidRPr="00E838BB">
              <w:rPr>
                <w:rFonts w:ascii="Times New Roman" w:hAnsi="Times New Roman" w:cs="Times New Roman"/>
              </w:rPr>
              <w:t>№п/п</w:t>
            </w:r>
          </w:p>
        </w:tc>
        <w:tc>
          <w:tcPr>
            <w:tcW w:w="805" w:type="dxa"/>
            <w:noWrap/>
            <w:hideMark/>
          </w:tcPr>
          <w:p w:rsidR="00E838BB" w:rsidRPr="00E838BB" w:rsidRDefault="00E838BB">
            <w:pPr>
              <w:rPr>
                <w:rFonts w:ascii="Times New Roman" w:hAnsi="Times New Roman" w:cs="Times New Roman"/>
              </w:rPr>
            </w:pPr>
            <w:r w:rsidRPr="00E838BB">
              <w:rPr>
                <w:rFonts w:ascii="Times New Roman" w:hAnsi="Times New Roman" w:cs="Times New Roman"/>
              </w:rPr>
              <w:t>Код КТРУ/ОКПД2</w:t>
            </w:r>
          </w:p>
        </w:tc>
        <w:tc>
          <w:tcPr>
            <w:tcW w:w="1166" w:type="dxa"/>
            <w:noWrap/>
            <w:hideMark/>
          </w:tcPr>
          <w:p w:rsidR="00E838BB" w:rsidRPr="00E838BB" w:rsidRDefault="00E838BB">
            <w:pPr>
              <w:rPr>
                <w:rFonts w:ascii="Times New Roman" w:hAnsi="Times New Roman" w:cs="Times New Roman"/>
              </w:rPr>
            </w:pPr>
            <w:r w:rsidRPr="00E838BB">
              <w:rPr>
                <w:rFonts w:ascii="Times New Roman" w:hAnsi="Times New Roman" w:cs="Times New Roman"/>
              </w:rPr>
              <w:t>Наименование Товара</w:t>
            </w: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bCs/>
              </w:rPr>
              <w:t>Наименование характеристики</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bCs/>
              </w:rPr>
              <w:t>Значение характеристики</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bCs/>
              </w:rPr>
              <w:t>Единица измерения</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bCs/>
              </w:rPr>
              <w:t>Инструкция по заполнению характеристики в заявке</w:t>
            </w:r>
          </w:p>
        </w:tc>
        <w:tc>
          <w:tcPr>
            <w:tcW w:w="513" w:type="dxa"/>
            <w:noWrap/>
            <w:hideMark/>
          </w:tcPr>
          <w:p w:rsidR="00E838BB" w:rsidRPr="00E838BB" w:rsidRDefault="00E838BB">
            <w:pPr>
              <w:rPr>
                <w:rFonts w:ascii="Times New Roman" w:hAnsi="Times New Roman" w:cs="Times New Roman"/>
              </w:rPr>
            </w:pPr>
            <w:r w:rsidRPr="00E838BB">
              <w:rPr>
                <w:rFonts w:ascii="Times New Roman" w:hAnsi="Times New Roman" w:cs="Times New Roman"/>
              </w:rPr>
              <w:t>Кол-во Товара</w:t>
            </w:r>
          </w:p>
        </w:tc>
        <w:tc>
          <w:tcPr>
            <w:tcW w:w="652" w:type="dxa"/>
            <w:noWrap/>
            <w:hideMark/>
          </w:tcPr>
          <w:p w:rsidR="00E838BB" w:rsidRPr="00E838BB" w:rsidRDefault="00E838BB">
            <w:pPr>
              <w:rPr>
                <w:rFonts w:ascii="Times New Roman" w:hAnsi="Times New Roman" w:cs="Times New Roman"/>
              </w:rPr>
            </w:pPr>
            <w:r w:rsidRPr="00E838BB">
              <w:rPr>
                <w:rFonts w:ascii="Times New Roman" w:hAnsi="Times New Roman" w:cs="Times New Roman"/>
              </w:rPr>
              <w:t>Ед. измерения</w:t>
            </w:r>
          </w:p>
        </w:tc>
        <w:tc>
          <w:tcPr>
            <w:tcW w:w="854" w:type="dxa"/>
            <w:noWrap/>
            <w:hideMark/>
          </w:tcPr>
          <w:p w:rsidR="00E838BB" w:rsidRPr="00E838BB" w:rsidRDefault="00E838BB">
            <w:pPr>
              <w:rPr>
                <w:rFonts w:ascii="Times New Roman" w:hAnsi="Times New Roman" w:cs="Times New Roman"/>
              </w:rPr>
            </w:pPr>
            <w:r w:rsidRPr="00E838BB">
              <w:rPr>
                <w:rFonts w:ascii="Times New Roman" w:hAnsi="Times New Roman" w:cs="Times New Roman"/>
              </w:rPr>
              <w:t>Страна происхождения Товара</w:t>
            </w:r>
          </w:p>
        </w:tc>
        <w:tc>
          <w:tcPr>
            <w:tcW w:w="519" w:type="dxa"/>
            <w:noWrap/>
            <w:hideMark/>
          </w:tcPr>
          <w:p w:rsidR="00E838BB" w:rsidRPr="00E838BB" w:rsidRDefault="00E838BB">
            <w:pPr>
              <w:rPr>
                <w:rFonts w:ascii="Times New Roman" w:hAnsi="Times New Roman" w:cs="Times New Roman"/>
              </w:rPr>
            </w:pPr>
            <w:r w:rsidRPr="00E838BB">
              <w:rPr>
                <w:rFonts w:ascii="Times New Roman" w:hAnsi="Times New Roman" w:cs="Times New Roman"/>
              </w:rPr>
              <w:t>Ставка НДС%</w:t>
            </w:r>
          </w:p>
        </w:tc>
        <w:tc>
          <w:tcPr>
            <w:tcW w:w="457" w:type="dxa"/>
            <w:noWrap/>
            <w:hideMark/>
          </w:tcPr>
          <w:p w:rsidR="00E838BB" w:rsidRPr="00E838BB" w:rsidRDefault="00E838BB">
            <w:pPr>
              <w:rPr>
                <w:rFonts w:ascii="Times New Roman" w:hAnsi="Times New Roman" w:cs="Times New Roman"/>
              </w:rPr>
            </w:pPr>
            <w:r w:rsidRPr="00E838BB">
              <w:rPr>
                <w:rFonts w:ascii="Times New Roman" w:hAnsi="Times New Roman" w:cs="Times New Roman"/>
              </w:rPr>
              <w:t>Цена за ед. без НДС</w:t>
            </w:r>
          </w:p>
        </w:tc>
        <w:tc>
          <w:tcPr>
            <w:tcW w:w="496" w:type="dxa"/>
            <w:noWrap/>
            <w:hideMark/>
          </w:tcPr>
          <w:p w:rsidR="00E838BB" w:rsidRPr="00E838BB" w:rsidRDefault="00E838BB">
            <w:pPr>
              <w:rPr>
                <w:rFonts w:ascii="Times New Roman" w:hAnsi="Times New Roman" w:cs="Times New Roman"/>
              </w:rPr>
            </w:pPr>
            <w:r w:rsidRPr="00E838BB">
              <w:rPr>
                <w:rFonts w:ascii="Times New Roman" w:hAnsi="Times New Roman" w:cs="Times New Roman"/>
              </w:rPr>
              <w:t>Сумма без НДС</w:t>
            </w:r>
          </w:p>
        </w:tc>
      </w:tr>
      <w:tr w:rsidR="00E838BB" w:rsidRPr="00E838BB" w:rsidTr="00E838BB">
        <w:trPr>
          <w:trHeight w:val="402"/>
        </w:trPr>
        <w:tc>
          <w:tcPr>
            <w:tcW w:w="458" w:type="dxa"/>
            <w:vMerge w:val="restart"/>
            <w:noWrap/>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1</w:t>
            </w:r>
          </w:p>
        </w:tc>
        <w:tc>
          <w:tcPr>
            <w:tcW w:w="805"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32.50.50.190-00000803*</w:t>
            </w:r>
          </w:p>
        </w:tc>
        <w:tc>
          <w:tcPr>
            <w:tcW w:w="1166"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Электрод электрохирургический для открытых операций, монополярный, одноразового использования</w:t>
            </w: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Электрод предназначен для монополярного электрохирургического рассечения и коагуляции мягких тканей.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val="restart"/>
            <w:noWrap/>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150</w:t>
            </w:r>
          </w:p>
        </w:tc>
        <w:tc>
          <w:tcPr>
            <w:tcW w:w="652"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шт</w:t>
            </w:r>
          </w:p>
        </w:tc>
        <w:tc>
          <w:tcPr>
            <w:tcW w:w="854"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519"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457"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496"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Используется со стандартными монополярными электрохирургическими инструментами в качестве альтернативы стальным электродам без покрытия.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Общая длина электрода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16,51</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см</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Длина рабочей части электрода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2,54</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см</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 Посадочный диаметр коннектора электрода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2,4</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мм</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Рабочая часть электрода имеет антипригарное покрытие предупреждающее налипание высушенной ткани.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Материал покрытия -  эластомерный силикон . При необходимости электрод может быть изогнут на 90 градусов без повреждения антипригарного покрытия.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максимальное напряжение тока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5600</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В</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Одноразовый.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Упакован стерильно.</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 2</w:t>
            </w:r>
          </w:p>
        </w:tc>
        <w:tc>
          <w:tcPr>
            <w:tcW w:w="805"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32.50.50.190-00000811*</w:t>
            </w:r>
          </w:p>
        </w:tc>
        <w:tc>
          <w:tcPr>
            <w:tcW w:w="1166"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Электрод электрохирургический эндоскопический, монополярный, одноразового использования</w:t>
            </w: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Предназначен для использования при минимально-инвазивных операциях для электрохирургического рассечения и коагуляции в монополярном режиме</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val="restart"/>
            <w:noWrap/>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10</w:t>
            </w:r>
          </w:p>
        </w:tc>
        <w:tc>
          <w:tcPr>
            <w:tcW w:w="652"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 шт</w:t>
            </w:r>
          </w:p>
        </w:tc>
        <w:tc>
          <w:tcPr>
            <w:tcW w:w="854"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519"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457"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496" w:type="dxa"/>
            <w:vMerge w:val="restart"/>
            <w:noWrap/>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Используется вместе с электрохирургической ручкой-держателем</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Участник закупки указывает в заявке конкретное значение характеристики </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Форма рабочей части электрода - изогнутый под прямым углом крючок  с дополнительной изоляцией дистальной части</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Общая длина электрода</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36</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см</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Диаметр изолированного ствола электрода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5</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мм</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Посадочный диаметр коннектора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2,4</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мм</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Материал электрода - нержавеющая сталь</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Материал изоляции - полиолефин синего цвета</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Материал дополнительной изоляции рабочей части - прозрачный трубчатый PTFE</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Настройка мощности не должна превышать 80 Вт в любом режиме</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 xml:space="preserve">максимальное напряжение тока </w:t>
            </w:r>
          </w:p>
        </w:tc>
        <w:tc>
          <w:tcPr>
            <w:tcW w:w="885" w:type="dxa"/>
            <w:hideMark/>
          </w:tcPr>
          <w:p w:rsidR="00E838BB" w:rsidRPr="00E838BB" w:rsidRDefault="00E838BB" w:rsidP="00E838BB">
            <w:pPr>
              <w:rPr>
                <w:rFonts w:ascii="Times New Roman" w:hAnsi="Times New Roman" w:cs="Times New Roman"/>
              </w:rPr>
            </w:pPr>
            <w:r w:rsidRPr="00E838BB">
              <w:rPr>
                <w:rFonts w:ascii="Times New Roman" w:hAnsi="Times New Roman" w:cs="Times New Roman"/>
              </w:rPr>
              <w:t>3625</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В</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Поставляется с пластиковыми транспортными протекторами на обоих концах электрода для защиты упаковки от повреждения</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r w:rsidR="00E838BB" w:rsidRPr="00E838BB" w:rsidTr="00E838BB">
        <w:trPr>
          <w:trHeight w:val="402"/>
        </w:trPr>
        <w:tc>
          <w:tcPr>
            <w:tcW w:w="458" w:type="dxa"/>
            <w:vMerge/>
            <w:hideMark/>
          </w:tcPr>
          <w:p w:rsidR="00E838BB" w:rsidRPr="00E838BB" w:rsidRDefault="00E838BB">
            <w:pPr>
              <w:rPr>
                <w:rFonts w:ascii="Times New Roman" w:hAnsi="Times New Roman" w:cs="Times New Roman"/>
              </w:rPr>
            </w:pPr>
          </w:p>
        </w:tc>
        <w:tc>
          <w:tcPr>
            <w:tcW w:w="805" w:type="dxa"/>
            <w:vMerge/>
            <w:hideMark/>
          </w:tcPr>
          <w:p w:rsidR="00E838BB" w:rsidRPr="00E838BB" w:rsidRDefault="00E838BB">
            <w:pPr>
              <w:rPr>
                <w:rFonts w:ascii="Times New Roman" w:hAnsi="Times New Roman" w:cs="Times New Roman"/>
              </w:rPr>
            </w:pPr>
          </w:p>
        </w:tc>
        <w:tc>
          <w:tcPr>
            <w:tcW w:w="1166" w:type="dxa"/>
            <w:vMerge/>
            <w:hideMark/>
          </w:tcPr>
          <w:p w:rsidR="00E838BB" w:rsidRPr="00E838BB" w:rsidRDefault="00E838BB">
            <w:pPr>
              <w:rPr>
                <w:rFonts w:ascii="Times New Roman" w:hAnsi="Times New Roman" w:cs="Times New Roman"/>
              </w:rPr>
            </w:pPr>
          </w:p>
        </w:tc>
        <w:tc>
          <w:tcPr>
            <w:tcW w:w="1228" w:type="dxa"/>
            <w:hideMark/>
          </w:tcPr>
          <w:p w:rsidR="00E838BB" w:rsidRPr="00E838BB" w:rsidRDefault="00E838BB">
            <w:pPr>
              <w:rPr>
                <w:rFonts w:ascii="Times New Roman" w:hAnsi="Times New Roman" w:cs="Times New Roman"/>
              </w:rPr>
            </w:pPr>
            <w:r w:rsidRPr="00E838BB">
              <w:rPr>
                <w:rFonts w:ascii="Times New Roman" w:hAnsi="Times New Roman" w:cs="Times New Roman"/>
              </w:rPr>
              <w:t>Одноразовый</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соответствие</w:t>
            </w:r>
          </w:p>
        </w:tc>
        <w:tc>
          <w:tcPr>
            <w:tcW w:w="652" w:type="dxa"/>
            <w:hideMark/>
          </w:tcPr>
          <w:p w:rsidR="00E838BB" w:rsidRPr="00E838BB" w:rsidRDefault="00E838BB">
            <w:pPr>
              <w:rPr>
                <w:rFonts w:ascii="Times New Roman" w:hAnsi="Times New Roman" w:cs="Times New Roman"/>
              </w:rPr>
            </w:pPr>
            <w:r w:rsidRPr="00E838BB">
              <w:rPr>
                <w:rFonts w:ascii="Times New Roman" w:hAnsi="Times New Roman" w:cs="Times New Roman"/>
              </w:rPr>
              <w:t> </w:t>
            </w:r>
          </w:p>
        </w:tc>
        <w:tc>
          <w:tcPr>
            <w:tcW w:w="885" w:type="dxa"/>
            <w:hideMark/>
          </w:tcPr>
          <w:p w:rsidR="00E838BB" w:rsidRPr="00E838BB" w:rsidRDefault="00E838BB">
            <w:pPr>
              <w:rPr>
                <w:rFonts w:ascii="Times New Roman" w:hAnsi="Times New Roman" w:cs="Times New Roman"/>
              </w:rPr>
            </w:pPr>
            <w:r w:rsidRPr="00E838BB">
              <w:rPr>
                <w:rFonts w:ascii="Times New Roman" w:hAnsi="Times New Roman" w:cs="Times New Roman"/>
              </w:rPr>
              <w:t>Значение характеристики не может изменяться участником закупки</w:t>
            </w:r>
          </w:p>
        </w:tc>
        <w:tc>
          <w:tcPr>
            <w:tcW w:w="513" w:type="dxa"/>
            <w:vMerge/>
            <w:hideMark/>
          </w:tcPr>
          <w:p w:rsidR="00E838BB" w:rsidRPr="00E838BB" w:rsidRDefault="00E838BB">
            <w:pPr>
              <w:rPr>
                <w:rFonts w:ascii="Times New Roman" w:hAnsi="Times New Roman" w:cs="Times New Roman"/>
              </w:rPr>
            </w:pPr>
          </w:p>
        </w:tc>
        <w:tc>
          <w:tcPr>
            <w:tcW w:w="652" w:type="dxa"/>
            <w:vMerge/>
            <w:hideMark/>
          </w:tcPr>
          <w:p w:rsidR="00E838BB" w:rsidRPr="00E838BB" w:rsidRDefault="00E838BB">
            <w:pPr>
              <w:rPr>
                <w:rFonts w:ascii="Times New Roman" w:hAnsi="Times New Roman" w:cs="Times New Roman"/>
              </w:rPr>
            </w:pPr>
          </w:p>
        </w:tc>
        <w:tc>
          <w:tcPr>
            <w:tcW w:w="854" w:type="dxa"/>
            <w:vMerge/>
            <w:hideMark/>
          </w:tcPr>
          <w:p w:rsidR="00E838BB" w:rsidRPr="00E838BB" w:rsidRDefault="00E838BB">
            <w:pPr>
              <w:rPr>
                <w:rFonts w:ascii="Times New Roman" w:hAnsi="Times New Roman" w:cs="Times New Roman"/>
              </w:rPr>
            </w:pPr>
          </w:p>
        </w:tc>
        <w:tc>
          <w:tcPr>
            <w:tcW w:w="519" w:type="dxa"/>
            <w:vMerge/>
            <w:hideMark/>
          </w:tcPr>
          <w:p w:rsidR="00E838BB" w:rsidRPr="00E838BB" w:rsidRDefault="00E838BB">
            <w:pPr>
              <w:rPr>
                <w:rFonts w:ascii="Times New Roman" w:hAnsi="Times New Roman" w:cs="Times New Roman"/>
              </w:rPr>
            </w:pPr>
          </w:p>
        </w:tc>
        <w:tc>
          <w:tcPr>
            <w:tcW w:w="457" w:type="dxa"/>
            <w:vMerge/>
            <w:hideMark/>
          </w:tcPr>
          <w:p w:rsidR="00E838BB" w:rsidRPr="00E838BB" w:rsidRDefault="00E838BB">
            <w:pPr>
              <w:rPr>
                <w:rFonts w:ascii="Times New Roman" w:hAnsi="Times New Roman" w:cs="Times New Roman"/>
              </w:rPr>
            </w:pPr>
          </w:p>
        </w:tc>
        <w:tc>
          <w:tcPr>
            <w:tcW w:w="496" w:type="dxa"/>
            <w:vMerge/>
            <w:hideMark/>
          </w:tcPr>
          <w:p w:rsidR="00E838BB" w:rsidRPr="00E838BB" w:rsidRDefault="00E838BB">
            <w:pPr>
              <w:rPr>
                <w:rFonts w:ascii="Times New Roman" w:hAnsi="Times New Roman" w:cs="Times New Roman"/>
              </w:rPr>
            </w:pPr>
          </w:p>
        </w:tc>
      </w:tr>
    </w:tbl>
    <w:p w:rsidR="00E838BB" w:rsidRPr="00E838BB" w:rsidRDefault="00E838BB" w:rsidP="00E838BB">
      <w:pPr>
        <w:spacing w:after="0"/>
        <w:jc w:val="both"/>
        <w:rPr>
          <w:rFonts w:ascii="Times New Roman" w:eastAsia="Times New Roman" w:hAnsi="Times New Roman" w:cs="Times New Roman"/>
          <w:i/>
          <w:sz w:val="24"/>
          <w:szCs w:val="24"/>
        </w:rPr>
      </w:pPr>
      <w:r w:rsidRPr="00E838BB">
        <w:rPr>
          <w:rFonts w:ascii="Times New Roman" w:eastAsia="Times New Roman" w:hAnsi="Times New Roman" w:cs="Times New Roman"/>
          <w:b/>
          <w:sz w:val="28"/>
          <w:szCs w:val="28"/>
        </w:rPr>
        <w:t>*</w:t>
      </w:r>
      <w:r w:rsidRPr="00E838BB">
        <w:rPr>
          <w:rFonts w:ascii="Times New Roman" w:eastAsia="Times New Roman" w:hAnsi="Times New Roman" w:cs="Times New Roman"/>
          <w:bCs/>
          <w:i/>
          <w:sz w:val="24"/>
          <w:szCs w:val="24"/>
        </w:rPr>
        <w:t xml:space="preserve">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E838BB" w:rsidRPr="00E838BB" w:rsidRDefault="00E838BB" w:rsidP="00E838BB">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E838BB">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BF3" w:rsidRDefault="00120BF3">
      <w:pPr>
        <w:spacing w:after="0" w:line="240" w:lineRule="auto"/>
      </w:pPr>
      <w:r>
        <w:separator/>
      </w:r>
    </w:p>
  </w:endnote>
  <w:endnote w:type="continuationSeparator" w:id="0">
    <w:p w:rsidR="00120BF3" w:rsidRDefault="0012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6CF6" w:rsidRDefault="00A16CF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16CF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16CF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16CF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16CF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838B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16CF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838B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BF3" w:rsidRDefault="00120BF3">
      <w:pPr>
        <w:spacing w:after="0" w:line="240" w:lineRule="auto"/>
      </w:pPr>
      <w:r>
        <w:separator/>
      </w:r>
    </w:p>
  </w:footnote>
  <w:footnote w:type="continuationSeparator" w:id="0">
    <w:p w:rsidR="00120BF3" w:rsidRDefault="00120BF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6CF6" w:rsidRDefault="00A16CF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6CF6" w:rsidRDefault="00A16CF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6CF6" w:rsidRDefault="00A16CF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0BF3"/>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6CF6"/>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838BB"/>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580">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286931429">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4B55C-603C-4E66-8174-D55DD265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2026-01-26T08:13:00Z</dcterms:created>
  <dcterms:modified xsi:type="dcterms:W3CDTF">2026-01-26T08:13:00Z</dcterms:modified>
</cp:coreProperties>
</file>