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05-07/1556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w:t>
            </w:r>
            <w:proofErr w:type="spellStart"/>
            <w:r w:rsidRPr="00E9435F">
              <w:rPr>
                <w:rFonts w:ascii="Times New Roman" w:hAnsi="Times New Roman" w:cs="Times New Roman"/>
                <w:sz w:val="20"/>
                <w:szCs w:val="20"/>
              </w:rPr>
              <w:t>sig</w:t>
            </w:r>
            <w:proofErr w:type="spellEnd"/>
            <w:r w:rsidRPr="00E9435F">
              <w:rPr>
                <w:rFonts w:ascii="Times New Roman" w:hAnsi="Times New Roman" w:cs="Times New Roman"/>
                <w:sz w:val="20"/>
                <w:szCs w:val="20"/>
              </w:rPr>
              <w:t xml:space="preserve">”)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E574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14"/>
        <w:gridCol w:w="8883"/>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изделий медицинского назначения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письменной заявки от Покупателя. Последняя дата подачи заявки на поставку 14.03.2024. Максимальное количество партий - 10 (десять).</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РУ</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преимущества инвалидам</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6" w:type="pct"/>
        <w:tblInd w:w="-6" w:type="dxa"/>
        <w:tblLayout w:type="fixed"/>
        <w:tblCellMar>
          <w:left w:w="0" w:type="dxa"/>
          <w:right w:w="0" w:type="dxa"/>
        </w:tblCellMar>
        <w:tblLook w:val="04A0" w:firstRow="1" w:lastRow="0" w:firstColumn="1" w:lastColumn="0" w:noHBand="0" w:noVBand="1"/>
      </w:tblPr>
      <w:tblGrid>
        <w:gridCol w:w="1716"/>
        <w:gridCol w:w="1434"/>
        <w:gridCol w:w="2004"/>
        <w:gridCol w:w="1580"/>
        <w:gridCol w:w="1865"/>
        <w:gridCol w:w="2441"/>
        <w:gridCol w:w="1279"/>
        <w:gridCol w:w="589"/>
        <w:gridCol w:w="842"/>
        <w:gridCol w:w="716"/>
        <w:gridCol w:w="861"/>
        <w:gridCol w:w="861"/>
      </w:tblGrid>
      <w:tr w:rsidR="00937333" w:rsidRPr="00937333" w:rsidTr="007B6778">
        <w:tc>
          <w:tcPr>
            <w:tcW w:w="530" w:type="pct"/>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Наименование товара, работы, услуги</w:t>
            </w:r>
          </w:p>
        </w:tc>
        <w:tc>
          <w:tcPr>
            <w:tcW w:w="443" w:type="pct"/>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Код позиции</w:t>
            </w:r>
          </w:p>
        </w:tc>
        <w:tc>
          <w:tcPr>
            <w:tcW w:w="2437" w:type="pct"/>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Характеристики товара, работы, услуги</w:t>
            </w:r>
          </w:p>
        </w:tc>
        <w:tc>
          <w:tcPr>
            <w:tcW w:w="395" w:type="pct"/>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Количество</w:t>
            </w:r>
          </w:p>
        </w:tc>
        <w:tc>
          <w:tcPr>
            <w:tcW w:w="182"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Единица измерения</w:t>
            </w:r>
          </w:p>
        </w:tc>
        <w:tc>
          <w:tcPr>
            <w:tcW w:w="260" w:type="pc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Страна</w:t>
            </w:r>
          </w:p>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происхождения</w:t>
            </w:r>
          </w:p>
        </w:tc>
        <w:tc>
          <w:tcPr>
            <w:tcW w:w="221" w:type="pc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НДС%</w:t>
            </w:r>
          </w:p>
        </w:tc>
        <w:tc>
          <w:tcPr>
            <w:tcW w:w="26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 xml:space="preserve">Цена за единицу </w:t>
            </w:r>
            <w:r w:rsidRPr="00937333">
              <w:rPr>
                <w:rFonts w:ascii="Times New Roman" w:eastAsia="Times New Roman" w:hAnsi="Times New Roman" w:cs="Times New Roman"/>
                <w:b/>
                <w:bCs/>
                <w:color w:val="000000"/>
                <w:sz w:val="20"/>
                <w:szCs w:val="20"/>
                <w:lang w:val="en-US" w:eastAsia="ru-RU"/>
              </w:rPr>
              <w:t>c</w:t>
            </w:r>
            <w:r w:rsidRPr="00937333">
              <w:rPr>
                <w:rFonts w:ascii="Times New Roman" w:eastAsia="Times New Roman" w:hAnsi="Times New Roman" w:cs="Times New Roman"/>
                <w:b/>
                <w:bCs/>
                <w:color w:val="000000"/>
                <w:sz w:val="20"/>
                <w:szCs w:val="20"/>
                <w:lang w:eastAsia="ru-RU"/>
              </w:rPr>
              <w:t xml:space="preserve"> НДС</w:t>
            </w:r>
          </w:p>
        </w:tc>
        <w:tc>
          <w:tcPr>
            <w:tcW w:w="266"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Сумма с НДС</w:t>
            </w: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hideMark/>
          </w:tcPr>
          <w:p w:rsidR="00937333" w:rsidRPr="00937333" w:rsidRDefault="00937333" w:rsidP="00937333">
            <w:pPr>
              <w:spacing w:after="0" w:line="240" w:lineRule="auto"/>
              <w:rPr>
                <w:rFonts w:ascii="Times New Roman" w:eastAsia="Times New Roman" w:hAnsi="Times New Roman" w:cs="Times New Roman"/>
                <w:b/>
                <w:bCs/>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937333" w:rsidRPr="00937333" w:rsidRDefault="00937333" w:rsidP="00937333">
            <w:pPr>
              <w:spacing w:after="0" w:line="240" w:lineRule="auto"/>
              <w:rPr>
                <w:rFonts w:ascii="Times New Roman" w:eastAsia="Times New Roman" w:hAnsi="Times New Roman" w:cs="Times New Roman"/>
                <w:b/>
                <w:bCs/>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Наименование характеристики</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Значение характеристики</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Единица измерения характеристики</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37333" w:rsidRPr="00937333" w:rsidRDefault="00937333" w:rsidP="00937333">
            <w:pPr>
              <w:spacing w:after="0" w:line="240" w:lineRule="auto"/>
              <w:jc w:val="center"/>
              <w:rPr>
                <w:rFonts w:ascii="Times New Roman" w:eastAsia="Times New Roman" w:hAnsi="Times New Roman" w:cs="Times New Roman"/>
                <w:b/>
                <w:bCs/>
                <w:color w:val="000000"/>
                <w:sz w:val="20"/>
                <w:szCs w:val="20"/>
                <w:lang w:eastAsia="ru-RU"/>
              </w:rPr>
            </w:pPr>
            <w:r w:rsidRPr="00937333">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95" w:type="pct"/>
            <w:vMerge w:val="restart"/>
            <w:tcBorders>
              <w:top w:val="single" w:sz="6" w:space="0" w:color="000000"/>
              <w:left w:val="single" w:sz="4" w:space="0" w:color="auto"/>
              <w:right w:val="single" w:sz="6" w:space="0" w:color="000000"/>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20"/>
                <w:szCs w:val="20"/>
                <w:lang w:eastAsia="ru-RU"/>
              </w:rPr>
              <w:t>500</w:t>
            </w:r>
          </w:p>
        </w:tc>
        <w:tc>
          <w:tcPr>
            <w:tcW w:w="182" w:type="pct"/>
            <w:vMerge w:val="restart"/>
            <w:tcBorders>
              <w:top w:val="single" w:sz="4" w:space="0" w:color="auto"/>
              <w:left w:val="single" w:sz="6" w:space="0" w:color="000000"/>
              <w:right w:val="single" w:sz="6" w:space="0" w:color="000000"/>
            </w:tcBorders>
            <w:vAlign w:val="center"/>
            <w:hideMark/>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roofErr w:type="spellStart"/>
            <w:r w:rsidRPr="00937333">
              <w:rPr>
                <w:rFonts w:ascii="Times New Roman" w:eastAsia="Times New Roman" w:hAnsi="Times New Roman" w:cs="Times New Roman"/>
                <w:color w:val="000000"/>
                <w:sz w:val="20"/>
                <w:szCs w:val="20"/>
                <w:lang w:eastAsia="ru-RU"/>
              </w:rPr>
              <w:t>упак</w:t>
            </w:r>
            <w:proofErr w:type="spellEnd"/>
          </w:p>
        </w:tc>
        <w:tc>
          <w:tcPr>
            <w:tcW w:w="260" w:type="pct"/>
            <w:vMerge w:val="restart"/>
            <w:tcBorders>
              <w:top w:val="single" w:sz="4" w:space="0" w:color="auto"/>
              <w:left w:val="single" w:sz="6" w:space="0" w:color="000000"/>
              <w:right w:val="single" w:sz="6" w:space="0" w:color="000000"/>
            </w:tcBorders>
          </w:tcPr>
          <w:p w:rsidR="00937333" w:rsidRPr="00937333" w:rsidRDefault="00937333" w:rsidP="00937333">
            <w:pPr>
              <w:spacing w:after="0" w:line="240" w:lineRule="auto"/>
              <w:rPr>
                <w:rFonts w:ascii="Times New Roman" w:eastAsia="Times New Roman" w:hAnsi="Times New Roman" w:cs="Times New Roman"/>
                <w:b/>
                <w:bCs/>
                <w:color w:val="000000"/>
                <w:sz w:val="20"/>
                <w:szCs w:val="20"/>
                <w:lang w:eastAsia="ru-RU"/>
              </w:rPr>
            </w:pPr>
          </w:p>
        </w:tc>
        <w:tc>
          <w:tcPr>
            <w:tcW w:w="221" w:type="pct"/>
            <w:vMerge w:val="restart"/>
            <w:tcBorders>
              <w:top w:val="single" w:sz="4" w:space="0" w:color="auto"/>
              <w:left w:val="single" w:sz="6" w:space="0" w:color="000000"/>
              <w:right w:val="single" w:sz="6" w:space="0" w:color="000000"/>
            </w:tcBorders>
          </w:tcPr>
          <w:p w:rsidR="00937333" w:rsidRPr="00937333" w:rsidRDefault="00937333" w:rsidP="00937333">
            <w:pPr>
              <w:spacing w:after="0" w:line="240" w:lineRule="auto"/>
              <w:rPr>
                <w:rFonts w:ascii="Times New Roman" w:eastAsia="Times New Roman" w:hAnsi="Times New Roman" w:cs="Times New Roman"/>
                <w:b/>
                <w:bCs/>
                <w:color w:val="000000"/>
                <w:sz w:val="20"/>
                <w:szCs w:val="20"/>
                <w:lang w:eastAsia="ru-RU"/>
              </w:rPr>
            </w:pPr>
          </w:p>
        </w:tc>
        <w:tc>
          <w:tcPr>
            <w:tcW w:w="266" w:type="pct"/>
            <w:vMerge w:val="restart"/>
            <w:tcBorders>
              <w:top w:val="single" w:sz="4" w:space="0" w:color="auto"/>
              <w:left w:val="single" w:sz="6" w:space="0" w:color="000000"/>
              <w:right w:val="single" w:sz="6" w:space="0" w:color="000000"/>
            </w:tcBorders>
            <w:vAlign w:val="center"/>
            <w:hideMark/>
          </w:tcPr>
          <w:p w:rsidR="00937333" w:rsidRPr="00937333" w:rsidRDefault="00937333" w:rsidP="00937333">
            <w:pPr>
              <w:spacing w:after="0" w:line="240" w:lineRule="auto"/>
              <w:rPr>
                <w:rFonts w:ascii="Times New Roman" w:eastAsia="Times New Roman" w:hAnsi="Times New Roman" w:cs="Times New Roman"/>
                <w:b/>
                <w:bCs/>
                <w:color w:val="000000"/>
                <w:sz w:val="20"/>
                <w:szCs w:val="20"/>
                <w:lang w:eastAsia="ru-RU"/>
              </w:rPr>
            </w:pPr>
          </w:p>
        </w:tc>
        <w:tc>
          <w:tcPr>
            <w:tcW w:w="266" w:type="pct"/>
            <w:vMerge w:val="restart"/>
            <w:tcBorders>
              <w:top w:val="single" w:sz="6" w:space="0" w:color="000000"/>
              <w:left w:val="single" w:sz="6" w:space="0" w:color="000000"/>
              <w:right w:val="single" w:sz="6" w:space="0" w:color="000000"/>
            </w:tcBorders>
            <w:vAlign w:val="center"/>
            <w:hideMark/>
          </w:tcPr>
          <w:p w:rsidR="00937333" w:rsidRPr="00937333" w:rsidRDefault="00937333" w:rsidP="00937333">
            <w:pPr>
              <w:spacing w:after="0" w:line="240" w:lineRule="auto"/>
              <w:rPr>
                <w:rFonts w:ascii="Times New Roman" w:eastAsia="Times New Roman" w:hAnsi="Times New Roman" w:cs="Times New Roman"/>
                <w:b/>
                <w:bCs/>
                <w:color w:val="000000"/>
                <w:sz w:val="20"/>
                <w:szCs w:val="20"/>
                <w:lang w:eastAsia="ru-RU"/>
              </w:rPr>
            </w:pPr>
          </w:p>
        </w:tc>
      </w:tr>
      <w:tr w:rsidR="00937333" w:rsidRPr="00937333" w:rsidTr="007B6778">
        <w:tc>
          <w:tcPr>
            <w:tcW w:w="530" w:type="pct"/>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Жгут для взятия крови одноразовый</w:t>
            </w:r>
          </w:p>
        </w:tc>
        <w:tc>
          <w:tcPr>
            <w:tcW w:w="443" w:type="pct"/>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 xml:space="preserve">32.50.50.190 </w:t>
            </w:r>
          </w:p>
        </w:tc>
        <w:tc>
          <w:tcPr>
            <w:tcW w:w="619" w:type="pct"/>
            <w:tcBorders>
              <w:top w:val="single" w:sz="4" w:space="0" w:color="auto"/>
              <w:left w:val="single" w:sz="4" w:space="0" w:color="auto"/>
              <w:bottom w:val="single" w:sz="4" w:space="0" w:color="auto"/>
              <w:right w:val="single" w:sz="4" w:space="0" w:color="auto"/>
            </w:tcBorders>
            <w:shd w:val="clear" w:color="000000" w:fill="FFFFFF"/>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r w:rsidRPr="00937333">
              <w:rPr>
                <w:rFonts w:ascii="Arial" w:eastAsia="Times New Roman" w:hAnsi="Arial" w:cs="Arial"/>
                <w:sz w:val="18"/>
                <w:szCs w:val="18"/>
              </w:rPr>
              <w:t>Длина жгута</w:t>
            </w:r>
          </w:p>
        </w:tc>
        <w:tc>
          <w:tcPr>
            <w:tcW w:w="488" w:type="pc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 490</w:t>
            </w:r>
          </w:p>
        </w:tc>
        <w:tc>
          <w:tcPr>
            <w:tcW w:w="576" w:type="pct"/>
            <w:tcBorders>
              <w:top w:val="single" w:sz="4" w:space="0" w:color="auto"/>
              <w:left w:val="single" w:sz="4" w:space="0" w:color="auto"/>
              <w:bottom w:val="single" w:sz="4" w:space="0" w:color="auto"/>
              <w:right w:val="single" w:sz="4" w:space="0" w:color="auto"/>
            </w:tcBorders>
            <w:shd w:val="clear" w:color="000000" w:fill="FFFFFF"/>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мм</w:t>
            </w:r>
          </w:p>
        </w:tc>
        <w:tc>
          <w:tcPr>
            <w:tcW w:w="754" w:type="pct"/>
            <w:tcBorders>
              <w:top w:val="single" w:sz="4" w:space="0" w:color="auto"/>
              <w:left w:val="single" w:sz="4" w:space="0" w:color="auto"/>
              <w:bottom w:val="single" w:sz="4" w:space="0" w:color="auto"/>
              <w:right w:val="single" w:sz="4" w:space="0" w:color="auto"/>
            </w:tcBorders>
            <w:shd w:val="clear" w:color="000000" w:fill="FFFFFF"/>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182" w:type="pct"/>
            <w:vMerge/>
            <w:tcBorders>
              <w:left w:val="single" w:sz="6" w:space="0" w:color="000000"/>
              <w:right w:val="single" w:sz="6" w:space="0" w:color="000000"/>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left w:val="single" w:sz="6" w:space="0" w:color="000000"/>
              <w:right w:val="single" w:sz="6" w:space="0" w:color="000000"/>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left w:val="single" w:sz="6" w:space="0" w:color="000000"/>
              <w:right w:val="single" w:sz="6" w:space="0" w:color="000000"/>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left w:val="single" w:sz="6" w:space="0" w:color="000000"/>
              <w:right w:val="single" w:sz="6" w:space="0" w:color="000000"/>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left w:val="single" w:sz="6" w:space="0" w:color="000000"/>
              <w:right w:val="single" w:sz="6" w:space="0" w:color="000000"/>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 xml:space="preserve">Ширина </w:t>
            </w:r>
          </w:p>
        </w:tc>
        <w:tc>
          <w:tcPr>
            <w:tcW w:w="488" w:type="pc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 22 и ≤ 25</w:t>
            </w:r>
          </w:p>
        </w:tc>
        <w:tc>
          <w:tcPr>
            <w:tcW w:w="576" w:type="pc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мм</w:t>
            </w:r>
          </w:p>
        </w:tc>
        <w:tc>
          <w:tcPr>
            <w:tcW w:w="754" w:type="pc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395" w:type="pct"/>
            <w:vMerge/>
            <w:tcBorders>
              <w:left w:val="single" w:sz="4" w:space="0" w:color="auto"/>
              <w:right w:val="single" w:sz="6" w:space="0" w:color="000000"/>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182" w:type="pct"/>
            <w:vMerge/>
            <w:tcBorders>
              <w:left w:val="single" w:sz="6" w:space="0" w:color="000000"/>
              <w:right w:val="single" w:sz="6" w:space="0" w:color="000000"/>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0" w:type="pct"/>
            <w:vMerge/>
            <w:tcBorders>
              <w:left w:val="single" w:sz="6" w:space="0" w:color="000000"/>
              <w:right w:val="single" w:sz="6" w:space="0" w:color="000000"/>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left w:val="single" w:sz="6" w:space="0" w:color="000000"/>
              <w:right w:val="single" w:sz="6" w:space="0" w:color="000000"/>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left w:val="single" w:sz="6" w:space="0" w:color="000000"/>
              <w:right w:val="single" w:sz="6" w:space="0" w:color="000000"/>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left w:val="single" w:sz="6" w:space="0" w:color="000000"/>
              <w:right w:val="single" w:sz="6" w:space="0" w:color="000000"/>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Для одноразового использования</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Соответствие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5" w:type="pct"/>
            <w:vMerge/>
            <w:tcBorders>
              <w:left w:val="single" w:sz="4" w:space="0" w:color="auto"/>
              <w:right w:val="single" w:sz="6" w:space="0" w:color="000000"/>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left w:val="single" w:sz="6" w:space="0" w:color="000000"/>
              <w:right w:val="single" w:sz="6" w:space="0" w:color="000000"/>
            </w:tcBorders>
            <w:vAlign w:val="center"/>
            <w:hideMark/>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left w:val="single" w:sz="6" w:space="0" w:color="000000"/>
              <w:right w:val="single" w:sz="6" w:space="0" w:color="000000"/>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left w:val="single" w:sz="6" w:space="0" w:color="000000"/>
              <w:right w:val="single" w:sz="6" w:space="0" w:color="000000"/>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left w:val="single" w:sz="6" w:space="0" w:color="000000"/>
              <w:right w:val="single" w:sz="6" w:space="0" w:color="000000"/>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left w:val="single" w:sz="6" w:space="0" w:color="000000"/>
              <w:right w:val="single" w:sz="6" w:space="0" w:color="000000"/>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rPr>
                <w:rFonts w:ascii="Times New Roman" w:eastAsia="Times New Roman" w:hAnsi="Times New Roman" w:cs="Times New Roman"/>
                <w:color w:val="000000"/>
                <w:sz w:val="18"/>
                <w:szCs w:val="18"/>
                <w:lang w:eastAsia="ru-RU"/>
              </w:rPr>
            </w:pPr>
            <w:proofErr w:type="spellStart"/>
            <w:r w:rsidRPr="00937333">
              <w:rPr>
                <w:rFonts w:ascii="Times New Roman" w:eastAsia="Times New Roman" w:hAnsi="Times New Roman" w:cs="Times New Roman"/>
                <w:color w:val="000000"/>
                <w:sz w:val="18"/>
                <w:szCs w:val="18"/>
                <w:lang w:eastAsia="ru-RU"/>
              </w:rPr>
              <w:t>Луер</w:t>
            </w:r>
            <w:proofErr w:type="spellEnd"/>
            <w:r w:rsidRPr="00937333">
              <w:rPr>
                <w:rFonts w:ascii="Times New Roman" w:eastAsia="Times New Roman" w:hAnsi="Times New Roman" w:cs="Times New Roman"/>
                <w:color w:val="000000"/>
                <w:sz w:val="18"/>
                <w:szCs w:val="18"/>
                <w:lang w:eastAsia="ru-RU"/>
              </w:rPr>
              <w:t xml:space="preserve">-адаптер для взятия крови из катетеров и </w:t>
            </w:r>
            <w:proofErr w:type="spellStart"/>
            <w:r w:rsidRPr="00937333">
              <w:rPr>
                <w:rFonts w:ascii="Times New Roman" w:eastAsia="Times New Roman" w:hAnsi="Times New Roman" w:cs="Times New Roman"/>
                <w:color w:val="000000"/>
                <w:sz w:val="18"/>
                <w:szCs w:val="18"/>
                <w:lang w:eastAsia="ru-RU"/>
              </w:rPr>
              <w:t>перфузионных</w:t>
            </w:r>
            <w:proofErr w:type="spellEnd"/>
            <w:r w:rsidRPr="00937333">
              <w:rPr>
                <w:rFonts w:ascii="Times New Roman" w:eastAsia="Times New Roman" w:hAnsi="Times New Roman" w:cs="Times New Roman"/>
                <w:color w:val="000000"/>
                <w:sz w:val="18"/>
                <w:szCs w:val="18"/>
                <w:lang w:eastAsia="ru-RU"/>
              </w:rPr>
              <w:t xml:space="preserve"> устройств в </w:t>
            </w:r>
            <w:proofErr w:type="spellStart"/>
            <w:r w:rsidRPr="00937333">
              <w:rPr>
                <w:rFonts w:ascii="Times New Roman" w:eastAsia="Times New Roman" w:hAnsi="Times New Roman" w:cs="Times New Roman"/>
                <w:color w:val="000000"/>
                <w:sz w:val="18"/>
                <w:szCs w:val="18"/>
                <w:lang w:eastAsia="ru-RU"/>
              </w:rPr>
              <w:t>вакуумсодержащие</w:t>
            </w:r>
            <w:proofErr w:type="spellEnd"/>
            <w:r w:rsidRPr="00937333">
              <w:rPr>
                <w:rFonts w:ascii="Times New Roman" w:eastAsia="Times New Roman" w:hAnsi="Times New Roman" w:cs="Times New Roman"/>
                <w:color w:val="000000"/>
                <w:sz w:val="18"/>
                <w:szCs w:val="18"/>
                <w:lang w:eastAsia="ru-RU"/>
              </w:rPr>
              <w:t xml:space="preserve"> пробирки</w:t>
            </w:r>
          </w:p>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lang w:eastAsia="ru-RU"/>
              </w:rPr>
              <w:t>32.50.50.190</w:t>
            </w: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rPr>
                <w:rFonts w:ascii="Times New Roman" w:eastAsia="Times New Roman" w:hAnsi="Times New Roman" w:cs="Times New Roman"/>
                <w:sz w:val="18"/>
                <w:szCs w:val="18"/>
              </w:rPr>
            </w:pPr>
            <w:proofErr w:type="spellStart"/>
            <w:r w:rsidRPr="00937333">
              <w:rPr>
                <w:rFonts w:ascii="Times New Roman" w:eastAsia="Times New Roman" w:hAnsi="Times New Roman" w:cs="Times New Roman"/>
                <w:sz w:val="18"/>
                <w:szCs w:val="18"/>
              </w:rPr>
              <w:t>Луер</w:t>
            </w:r>
            <w:proofErr w:type="spellEnd"/>
            <w:r w:rsidRPr="00937333">
              <w:rPr>
                <w:rFonts w:ascii="Times New Roman" w:eastAsia="Times New Roman" w:hAnsi="Times New Roman" w:cs="Times New Roman"/>
                <w:sz w:val="18"/>
                <w:szCs w:val="18"/>
              </w:rPr>
              <w:t>-адаптер снабжен резьбой для вкручивания в держатель</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20"/>
                <w:szCs w:val="20"/>
                <w:lang w:eastAsia="ru-RU"/>
              </w:rPr>
              <w:t>6 400</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roofErr w:type="spellStart"/>
            <w:r w:rsidRPr="00937333">
              <w:rPr>
                <w:rFonts w:ascii="Times New Roman" w:eastAsia="Times New Roman" w:hAnsi="Times New Roman" w:cs="Times New Roman"/>
                <w:color w:val="000000"/>
                <w:sz w:val="20"/>
                <w:szCs w:val="20"/>
                <w:lang w:eastAsia="ru-RU"/>
              </w:rPr>
              <w:t>шт</w:t>
            </w:r>
            <w:proofErr w:type="spellEnd"/>
          </w:p>
        </w:tc>
        <w:tc>
          <w:tcPr>
            <w:tcW w:w="260" w:type="pct"/>
            <w:vMerge w:val="restar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Безопасный резиновый клапан, препятствующий обратному току крови</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18"/>
                <w:szCs w:val="18"/>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xml:space="preserve">Упаковка - двухсторонний пластиковый чехол, снабженный этикеткой с перфорацией, предотвращающей повторное использование; </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20"/>
                <w:szCs w:val="20"/>
                <w:lang w:eastAsia="ru-RU"/>
              </w:rPr>
              <w:lastRenderedPageBreak/>
              <w:t>Пробирка для сбора образцов</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18"/>
                <w:szCs w:val="18"/>
                <w:lang w:eastAsia="ru-RU"/>
              </w:rPr>
              <w:t>32.50.50.190</w:t>
            </w: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Пробирка для сбора образцов крови не вакуумная ИВД, с K3EDTA для гематологических исследований, объем пробы</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0,5</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мл</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20"/>
                <w:szCs w:val="20"/>
                <w:lang w:eastAsia="ru-RU"/>
              </w:rPr>
              <w:t xml:space="preserve">1 000 </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roofErr w:type="spellStart"/>
            <w:r w:rsidRPr="00937333">
              <w:rPr>
                <w:rFonts w:ascii="Times New Roman" w:eastAsia="Times New Roman" w:hAnsi="Times New Roman" w:cs="Times New Roman"/>
                <w:color w:val="000000"/>
                <w:sz w:val="20"/>
                <w:szCs w:val="20"/>
                <w:lang w:eastAsia="ru-RU"/>
              </w:rPr>
              <w:t>шт</w:t>
            </w:r>
            <w:proofErr w:type="spellEnd"/>
          </w:p>
        </w:tc>
        <w:tc>
          <w:tcPr>
            <w:tcW w:w="260" w:type="pct"/>
            <w:vMerge w:val="restar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xml:space="preserve">Пробирка закрыта пробкой из бутилкаучука с крестообразным клапаном, предназначенным для введения капилляра. Поставляются с вложенными капиллярами (капилляр не встроен в пробирку). </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20"/>
                <w:szCs w:val="20"/>
                <w:lang w:eastAsia="ru-RU"/>
              </w:rPr>
              <w:t>Система для взятия крови через имплантированный инъекционный порт</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18"/>
                <w:szCs w:val="18"/>
                <w:lang w:eastAsia="ru-RU"/>
              </w:rPr>
              <w:t>32.50.50.190</w:t>
            </w: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xml:space="preserve">Система для взятия крови через имплантированный инъекционный порт состоит из  иглы с латеральным отверстием (игла </w:t>
            </w:r>
            <w:proofErr w:type="spellStart"/>
            <w:r w:rsidRPr="00937333">
              <w:rPr>
                <w:rFonts w:ascii="Times New Roman" w:eastAsia="Times New Roman" w:hAnsi="Times New Roman" w:cs="Times New Roman"/>
                <w:sz w:val="18"/>
                <w:szCs w:val="18"/>
              </w:rPr>
              <w:t>Губера</w:t>
            </w:r>
            <w:proofErr w:type="spellEnd"/>
            <w:r w:rsidRPr="00937333">
              <w:rPr>
                <w:rFonts w:ascii="Times New Roman" w:eastAsia="Times New Roman" w:hAnsi="Times New Roman" w:cs="Times New Roman"/>
                <w:sz w:val="18"/>
                <w:szCs w:val="18"/>
              </w:rPr>
              <w:t xml:space="preserve">) и удлинителя </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20"/>
                <w:szCs w:val="20"/>
                <w:lang w:eastAsia="ru-RU"/>
              </w:rPr>
              <w:t xml:space="preserve">50 </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roofErr w:type="spellStart"/>
            <w:r w:rsidRPr="00937333">
              <w:rPr>
                <w:rFonts w:ascii="Times New Roman" w:eastAsia="Times New Roman" w:hAnsi="Times New Roman" w:cs="Times New Roman"/>
                <w:color w:val="000000"/>
                <w:sz w:val="20"/>
                <w:szCs w:val="20"/>
                <w:lang w:eastAsia="ru-RU"/>
              </w:rPr>
              <w:t>шт</w:t>
            </w:r>
            <w:proofErr w:type="spellEnd"/>
          </w:p>
        </w:tc>
        <w:tc>
          <w:tcPr>
            <w:tcW w:w="260" w:type="pct"/>
            <w:vMerge w:val="restar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Размер иглы 22G</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Длина иглы</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19</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мм</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Прозрачные, трапециевидные крылья с отверстиями</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Цветной механизм защиты от укола иглой и прозрачный, защитный, конусообразный чехол на корпусе иглы</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xml:space="preserve">Механизм безопасности активируется автоматически при извлечении канюли со слышимым </w:t>
            </w:r>
            <w:proofErr w:type="spellStart"/>
            <w:r w:rsidRPr="00937333">
              <w:rPr>
                <w:rFonts w:ascii="Times New Roman" w:eastAsia="Times New Roman" w:hAnsi="Times New Roman" w:cs="Times New Roman"/>
                <w:sz w:val="18"/>
                <w:szCs w:val="18"/>
              </w:rPr>
              <w:t>щелчом</w:t>
            </w:r>
            <w:proofErr w:type="spellEnd"/>
            <w:r w:rsidRPr="00937333">
              <w:rPr>
                <w:rFonts w:ascii="Times New Roman" w:eastAsia="Times New Roman" w:hAnsi="Times New Roman" w:cs="Times New Roman"/>
                <w:sz w:val="18"/>
                <w:szCs w:val="18"/>
              </w:rPr>
              <w:t>, означающим, что канюля безопасно располагается в футляре</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Защитная площадка с мягким контактным бортиком, покрывающим область пункции во время инъекции</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Интегрированный удлинитель с заглушкой и свободно перемещающимся зажимом, длина удлинителя</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175 и ≤ 185</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мм</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Игла позволяет вводить контрастные вещества под давлением</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21</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бар</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МРТ-совместимость</w:t>
            </w:r>
          </w:p>
        </w:tc>
        <w:tc>
          <w:tcPr>
            <w:tcW w:w="4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Наличие</w:t>
            </w:r>
          </w:p>
        </w:tc>
        <w:tc>
          <w:tcPr>
            <w:tcW w:w="576"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w:t>
            </w:r>
          </w:p>
        </w:tc>
        <w:tc>
          <w:tcPr>
            <w:tcW w:w="75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20"/>
                <w:szCs w:val="20"/>
                <w:lang w:eastAsia="ru-RU"/>
              </w:rPr>
              <w:t>Набор для инвазивного мониторинга кровяного давления</w:t>
            </w:r>
          </w:p>
        </w:tc>
        <w:tc>
          <w:tcPr>
            <w:tcW w:w="443"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18"/>
                <w:szCs w:val="18"/>
                <w:lang w:eastAsia="ru-RU"/>
              </w:rPr>
              <w:t>32.50.50.190</w:t>
            </w: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Один одноразовый датчик давления с прозрачной линией давления</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r w:rsidRPr="00937333">
              <w:rPr>
                <w:rFonts w:ascii="Times New Roman" w:eastAsia="Times New Roman" w:hAnsi="Times New Roman" w:cs="Times New Roman"/>
                <w:color w:val="000000"/>
                <w:sz w:val="20"/>
                <w:szCs w:val="20"/>
                <w:lang w:eastAsia="ru-RU"/>
              </w:rPr>
              <w:t>50</w:t>
            </w:r>
          </w:p>
        </w:tc>
        <w:tc>
          <w:tcPr>
            <w:tcW w:w="182"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roofErr w:type="spellStart"/>
            <w:r w:rsidRPr="00937333">
              <w:rPr>
                <w:rFonts w:ascii="Times New Roman" w:eastAsia="Times New Roman" w:hAnsi="Times New Roman" w:cs="Times New Roman"/>
                <w:color w:val="000000"/>
                <w:sz w:val="20"/>
                <w:szCs w:val="20"/>
                <w:lang w:eastAsia="ru-RU"/>
              </w:rPr>
              <w:t>шт</w:t>
            </w:r>
            <w:proofErr w:type="spellEnd"/>
          </w:p>
        </w:tc>
        <w:tc>
          <w:tcPr>
            <w:tcW w:w="260" w:type="pct"/>
            <w:vMerge w:val="restar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21" w:type="pct"/>
            <w:vMerge w:val="restart"/>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c>
          <w:tcPr>
            <w:tcW w:w="266" w:type="pct"/>
            <w:vMerge w:val="restart"/>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Для измерения венозного давления, артериального давления и давления в легочной артерии</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Длина линии</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rPr>
            </w:pPr>
            <w:r w:rsidRPr="00937333">
              <w:rPr>
                <w:rFonts w:ascii="Times New Roman" w:eastAsia="Times New Roman" w:hAnsi="Times New Roman" w:cs="Times New Roman"/>
                <w:color w:val="000000"/>
                <w:sz w:val="18"/>
                <w:szCs w:val="18"/>
              </w:rPr>
              <w:t>≥ 140 и  ≤ 160</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rPr>
            </w:pPr>
            <w:r w:rsidRPr="00937333">
              <w:rPr>
                <w:rFonts w:ascii="Times New Roman" w:eastAsia="Times New Roman" w:hAnsi="Times New Roman" w:cs="Times New Roman"/>
                <w:color w:val="000000"/>
                <w:sz w:val="18"/>
                <w:szCs w:val="18"/>
              </w:rPr>
              <w:t>см</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На линии расположен стопорный краник с тактильным ощущением щелчка при переключении</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Объём заполнения крана</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0,5</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мл</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На линии расположен чип для передачи информации в прозрачном корпусе</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Пластичное, цветное промывное устройство на линии</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Несъемная, ребристая заглушка на линии</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xml:space="preserve">Встроенный в линию </w:t>
            </w:r>
            <w:proofErr w:type="spellStart"/>
            <w:r w:rsidRPr="00937333">
              <w:rPr>
                <w:rFonts w:ascii="Times New Roman" w:eastAsia="Times New Roman" w:hAnsi="Times New Roman" w:cs="Times New Roman"/>
                <w:sz w:val="18"/>
                <w:szCs w:val="18"/>
              </w:rPr>
              <w:t>элиминатор</w:t>
            </w:r>
            <w:proofErr w:type="spellEnd"/>
            <w:r w:rsidRPr="00937333">
              <w:rPr>
                <w:rFonts w:ascii="Times New Roman" w:eastAsia="Times New Roman" w:hAnsi="Times New Roman" w:cs="Times New Roman"/>
                <w:sz w:val="18"/>
                <w:szCs w:val="18"/>
              </w:rPr>
              <w:t xml:space="preserve"> резонансного выброса</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Максимальная скорость промывки не менее 48 мл/мин</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Диапазон скорости подачи физиологического раствора 2-4 мл/час</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xml:space="preserve">Капельная камера </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Прозрачная</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Изогнутая металлическая канюля капельной камеры</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Длина канюли</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10 и  ≤ 14</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мм</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Указывают в заявке конкретное значение характеристики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xml:space="preserve">Соединение </w:t>
            </w:r>
            <w:proofErr w:type="spellStart"/>
            <w:r w:rsidRPr="00937333">
              <w:rPr>
                <w:rFonts w:ascii="Times New Roman" w:eastAsia="Times New Roman" w:hAnsi="Times New Roman" w:cs="Times New Roman"/>
                <w:sz w:val="18"/>
                <w:szCs w:val="18"/>
              </w:rPr>
              <w:t>Луер</w:t>
            </w:r>
            <w:proofErr w:type="spellEnd"/>
            <w:r w:rsidRPr="00937333">
              <w:rPr>
                <w:rFonts w:ascii="Times New Roman" w:eastAsia="Times New Roman" w:hAnsi="Times New Roman" w:cs="Times New Roman"/>
                <w:sz w:val="18"/>
                <w:szCs w:val="18"/>
              </w:rPr>
              <w:t xml:space="preserve"> </w:t>
            </w:r>
            <w:proofErr w:type="spellStart"/>
            <w:r w:rsidRPr="00937333">
              <w:rPr>
                <w:rFonts w:ascii="Times New Roman" w:eastAsia="Times New Roman" w:hAnsi="Times New Roman" w:cs="Times New Roman"/>
                <w:sz w:val="18"/>
                <w:szCs w:val="18"/>
              </w:rPr>
              <w:t>Лок</w:t>
            </w:r>
            <w:proofErr w:type="spellEnd"/>
            <w:r w:rsidRPr="00937333">
              <w:rPr>
                <w:rFonts w:ascii="Times New Roman" w:eastAsia="Times New Roman" w:hAnsi="Times New Roman" w:cs="Times New Roman"/>
                <w:sz w:val="18"/>
                <w:szCs w:val="18"/>
              </w:rPr>
              <w:t xml:space="preserve"> со стороны пациента</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Разъем с направляющими стрелками со стороны монитора</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Дополнительные заглушки</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Наличие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r w:rsidR="00937333" w:rsidRPr="00937333" w:rsidTr="007B6778">
        <w:tc>
          <w:tcPr>
            <w:tcW w:w="530"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61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rPr>
                <w:rFonts w:ascii="Times New Roman" w:eastAsia="Times New Roman" w:hAnsi="Times New Roman" w:cs="Times New Roman"/>
                <w:sz w:val="18"/>
                <w:szCs w:val="18"/>
              </w:rPr>
            </w:pPr>
            <w:r w:rsidRPr="00937333">
              <w:rPr>
                <w:rFonts w:ascii="Times New Roman" w:eastAsia="Times New Roman" w:hAnsi="Times New Roman" w:cs="Times New Roman"/>
                <w:sz w:val="18"/>
                <w:szCs w:val="18"/>
              </w:rPr>
              <w:t xml:space="preserve">Совместимость с кабелем </w:t>
            </w:r>
            <w:proofErr w:type="spellStart"/>
            <w:r w:rsidRPr="00937333">
              <w:rPr>
                <w:rFonts w:ascii="Times New Roman" w:eastAsia="Times New Roman" w:hAnsi="Times New Roman" w:cs="Times New Roman"/>
                <w:sz w:val="18"/>
                <w:szCs w:val="18"/>
              </w:rPr>
              <w:t>MeritMedical</w:t>
            </w:r>
            <w:proofErr w:type="spellEnd"/>
            <w:r w:rsidRPr="00937333">
              <w:rPr>
                <w:rFonts w:ascii="Times New Roman" w:eastAsia="Times New Roman" w:hAnsi="Times New Roman" w:cs="Times New Roman"/>
                <w:sz w:val="18"/>
                <w:szCs w:val="18"/>
              </w:rPr>
              <w:t>, имеющимся у Заказчика</w:t>
            </w:r>
          </w:p>
        </w:tc>
        <w:tc>
          <w:tcPr>
            <w:tcW w:w="4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Соответствие</w:t>
            </w:r>
          </w:p>
        </w:tc>
        <w:tc>
          <w:tcPr>
            <w:tcW w:w="576"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 </w:t>
            </w:r>
          </w:p>
        </w:tc>
        <w:tc>
          <w:tcPr>
            <w:tcW w:w="7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37333" w:rsidRPr="00937333" w:rsidRDefault="00937333" w:rsidP="00937333">
            <w:pPr>
              <w:spacing w:after="0" w:line="240" w:lineRule="auto"/>
              <w:jc w:val="center"/>
              <w:rPr>
                <w:rFonts w:ascii="Times New Roman" w:eastAsia="Times New Roman" w:hAnsi="Times New Roman" w:cs="Times New Roman"/>
                <w:color w:val="000000"/>
                <w:sz w:val="18"/>
                <w:szCs w:val="18"/>
                <w:lang w:eastAsia="ru-RU"/>
              </w:rPr>
            </w:pPr>
            <w:r w:rsidRPr="00937333">
              <w:rPr>
                <w:rFonts w:ascii="Times New Roman" w:eastAsia="Times New Roman" w:hAnsi="Times New Roman" w:cs="Times New Roman"/>
                <w:color w:val="000000"/>
                <w:sz w:val="18"/>
                <w:szCs w:val="18"/>
              </w:rPr>
              <w:t>Значение характеристики не может изменяться участником закупки</w:t>
            </w:r>
          </w:p>
        </w:tc>
        <w:tc>
          <w:tcPr>
            <w:tcW w:w="395"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182"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0"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21" w:type="pct"/>
            <w:vMerge/>
            <w:tcBorders>
              <w:top w:val="single" w:sz="4" w:space="0" w:color="auto"/>
              <w:left w:val="single" w:sz="4" w:space="0" w:color="auto"/>
              <w:bottom w:val="single" w:sz="4" w:space="0" w:color="auto"/>
              <w:right w:val="single" w:sz="4" w:space="0" w:color="auto"/>
            </w:tcBorders>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tcPr>
          <w:p w:rsidR="00937333" w:rsidRPr="00937333" w:rsidRDefault="00937333" w:rsidP="00937333">
            <w:pPr>
              <w:spacing w:after="0" w:line="240" w:lineRule="auto"/>
              <w:rPr>
                <w:rFonts w:ascii="Times New Roman" w:eastAsia="Times New Roman" w:hAnsi="Times New Roman" w:cs="Times New Roman"/>
                <w:color w:val="000000"/>
                <w:sz w:val="20"/>
                <w:szCs w:val="20"/>
                <w:lang w:eastAsia="ru-RU"/>
              </w:rPr>
            </w:pPr>
          </w:p>
        </w:tc>
      </w:tr>
    </w:tbl>
    <w:p w:rsidR="00937333" w:rsidRPr="00937333" w:rsidRDefault="00937333" w:rsidP="00937333">
      <w:pPr>
        <w:widowControl w:val="0"/>
        <w:spacing w:after="0"/>
        <w:ind w:left="644"/>
        <w:contextualSpacing/>
        <w:jc w:val="center"/>
        <w:rPr>
          <w:rFonts w:ascii="Times New Roman" w:eastAsia="Times New Roman" w:hAnsi="Times New Roman" w:cs="Times New Roman"/>
          <w:b/>
          <w:sz w:val="24"/>
          <w:szCs w:val="26"/>
        </w:rPr>
      </w:pPr>
    </w:p>
    <w:p w:rsidR="00170252" w:rsidRDefault="00170252" w:rsidP="000820E3">
      <w:pPr>
        <w:rPr>
          <w:rFonts w:ascii="Times New Roman" w:hAnsi="Times New Roman" w:cs="Times New Roman"/>
          <w:b/>
          <w:sz w:val="28"/>
          <w:szCs w:val="28"/>
        </w:rPr>
      </w:pPr>
    </w:p>
    <w:sectPr w:rsidR="00170252" w:rsidSect="0093733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6B9" w:rsidRDefault="007976B9">
      <w:pPr>
        <w:spacing w:after="0" w:line="240" w:lineRule="auto"/>
      </w:pPr>
      <w:r>
        <w:separator/>
      </w:r>
    </w:p>
  </w:endnote>
  <w:endnote w:type="continuationSeparator" w:id="0">
    <w:p w:rsidR="007976B9" w:rsidRDefault="0079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5744" w:rsidRDefault="00FE5744">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E5744">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E5744">
          <w:rPr>
            <w:noProof/>
          </w:rPr>
          <w:t>3</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FE574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E574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FE574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6B9" w:rsidRDefault="007976B9">
      <w:pPr>
        <w:spacing w:after="0" w:line="240" w:lineRule="auto"/>
      </w:pPr>
      <w:r>
        <w:separator/>
      </w:r>
    </w:p>
  </w:footnote>
  <w:footnote w:type="continuationSeparator" w:id="0">
    <w:p w:rsidR="007976B9" w:rsidRDefault="007976B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5744" w:rsidRDefault="00FE5744">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5744" w:rsidRDefault="00FE5744">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E5744" w:rsidRDefault="00FE5744">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76B9"/>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7333"/>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744"/>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CA6D014-1930-43C1-94EF-267EC293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682E-23E5-4D5F-BD0D-67482085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10392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2023-11-28T06:12:00Z</dcterms:created>
  <dcterms:modified xsi:type="dcterms:W3CDTF">2023-11-28T06:12:00Z</dcterms:modified>
</cp:coreProperties>
</file>