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12.11.2025 № 05-07/2044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A1C0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08.12.2025.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334"/>
        <w:gridCol w:w="1125"/>
        <w:gridCol w:w="582"/>
        <w:gridCol w:w="812"/>
        <w:gridCol w:w="785"/>
        <w:gridCol w:w="1045"/>
        <w:gridCol w:w="1089"/>
        <w:gridCol w:w="1237"/>
        <w:gridCol w:w="1028"/>
        <w:gridCol w:w="785"/>
        <w:gridCol w:w="1127"/>
        <w:gridCol w:w="1021"/>
        <w:gridCol w:w="1780"/>
        <w:gridCol w:w="940"/>
        <w:gridCol w:w="1237"/>
        <w:gridCol w:w="1022"/>
      </w:tblGrid>
      <w:tr w:rsidR="00C100A6" w:rsidRPr="00C100A6" w:rsidTr="00C100A6">
        <w:trPr>
          <w:trHeight w:val="402"/>
        </w:trPr>
        <w:tc>
          <w:tcPr>
            <w:tcW w:w="10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w:t>
            </w:r>
          </w:p>
        </w:tc>
        <w:tc>
          <w:tcPr>
            <w:tcW w:w="35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Наименование товара</w:t>
            </w:r>
          </w:p>
        </w:tc>
        <w:tc>
          <w:tcPr>
            <w:tcW w:w="18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Кол-во товара</w:t>
            </w:r>
          </w:p>
        </w:tc>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КТРУ</w:t>
            </w:r>
          </w:p>
        </w:tc>
        <w:tc>
          <w:tcPr>
            <w:tcW w:w="24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Единица измерения</w:t>
            </w:r>
          </w:p>
        </w:tc>
        <w:tc>
          <w:tcPr>
            <w:tcW w:w="32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Наименование согласно РУ</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 xml:space="preserve">Тип характеристики </w:t>
            </w:r>
          </w:p>
        </w:tc>
        <w:tc>
          <w:tcPr>
            <w:tcW w:w="38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Функциональные, технические, качественные, эксплуатационные характеристики товара (единицы измерения</w:t>
            </w:r>
            <w:r w:rsidRPr="00C100A6">
              <w:rPr>
                <w:rFonts w:ascii="Times New Roman" w:eastAsia="Times New Roman" w:hAnsi="Times New Roman" w:cs="Times New Roman"/>
                <w:b/>
                <w:bCs/>
                <w:strike/>
                <w:color w:val="000000"/>
                <w:sz w:val="20"/>
                <w:szCs w:val="20"/>
                <w:lang w:eastAsia="ru-RU"/>
              </w:rPr>
              <w:t>)</w:t>
            </w:r>
          </w:p>
        </w:tc>
        <w:tc>
          <w:tcPr>
            <w:tcW w:w="32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Значения характеристик товара, которые не подлежат изменению участником закупки, или минимальные и (или) максимальные значения характеристик товара</w:t>
            </w:r>
          </w:p>
        </w:tc>
        <w:tc>
          <w:tcPr>
            <w:tcW w:w="24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Единица измерения значения</w:t>
            </w:r>
          </w:p>
        </w:tc>
        <w:tc>
          <w:tcPr>
            <w:tcW w:w="35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Обоснование дополнительных характеристик</w:t>
            </w:r>
          </w:p>
        </w:tc>
        <w:tc>
          <w:tcPr>
            <w:tcW w:w="320" w:type="pct"/>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20"/>
                <w:szCs w:val="20"/>
                <w:lang w:eastAsia="ru-RU"/>
              </w:rPr>
            </w:pPr>
            <w:r w:rsidRPr="00C100A6">
              <w:rPr>
                <w:rFonts w:ascii="Times New Roman" w:eastAsia="Times New Roman" w:hAnsi="Times New Roman" w:cs="Times New Roman"/>
                <w:b/>
                <w:bCs/>
                <w:color w:val="000000"/>
                <w:sz w:val="20"/>
                <w:szCs w:val="20"/>
                <w:lang w:eastAsia="ru-RU"/>
              </w:rPr>
              <w:t>Инструкция заказчика по указанию значений характеристик товара участником закупки</w:t>
            </w:r>
          </w:p>
        </w:tc>
        <w:tc>
          <w:tcPr>
            <w:tcW w:w="55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Times New Roman" w:eastAsia="Times New Roman" w:hAnsi="Times New Roman" w:cs="Times New Roman"/>
                <w:color w:val="000000"/>
                <w:sz w:val="20"/>
                <w:szCs w:val="20"/>
                <w:lang w:eastAsia="ru-RU"/>
              </w:rPr>
            </w:pPr>
            <w:r w:rsidRPr="00C100A6">
              <w:rPr>
                <w:rFonts w:ascii="Times New Roman" w:eastAsia="Times New Roman" w:hAnsi="Times New Roman" w:cs="Times New Roman"/>
                <w:color w:val="000000"/>
                <w:sz w:val="20"/>
                <w:szCs w:val="20"/>
                <w:lang w:eastAsia="ru-RU"/>
              </w:rPr>
              <w:t>Страна происхождения Товара</w:t>
            </w:r>
          </w:p>
        </w:tc>
        <w:tc>
          <w:tcPr>
            <w:tcW w:w="29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Times New Roman" w:eastAsia="Times New Roman" w:hAnsi="Times New Roman" w:cs="Times New Roman"/>
                <w:color w:val="000000"/>
                <w:sz w:val="20"/>
                <w:szCs w:val="20"/>
                <w:lang w:eastAsia="ru-RU"/>
              </w:rPr>
            </w:pPr>
            <w:r w:rsidRPr="00C100A6">
              <w:rPr>
                <w:rFonts w:ascii="Times New Roman" w:eastAsia="Times New Roman" w:hAnsi="Times New Roman" w:cs="Times New Roman"/>
                <w:color w:val="000000"/>
                <w:sz w:val="20"/>
                <w:szCs w:val="20"/>
                <w:lang w:eastAsia="ru-RU"/>
              </w:rPr>
              <w:t>Ставка НДС%</w:t>
            </w:r>
          </w:p>
        </w:tc>
        <w:tc>
          <w:tcPr>
            <w:tcW w:w="38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Times New Roman" w:eastAsia="Times New Roman" w:hAnsi="Times New Roman" w:cs="Times New Roman"/>
                <w:color w:val="000000"/>
                <w:sz w:val="20"/>
                <w:szCs w:val="20"/>
                <w:lang w:eastAsia="ru-RU"/>
              </w:rPr>
            </w:pPr>
            <w:r w:rsidRPr="00C100A6">
              <w:rPr>
                <w:rFonts w:ascii="Times New Roman" w:eastAsia="Times New Roman" w:hAnsi="Times New Roman" w:cs="Times New Roman"/>
                <w:color w:val="000000"/>
                <w:sz w:val="20"/>
                <w:szCs w:val="20"/>
                <w:lang w:eastAsia="ru-RU"/>
              </w:rPr>
              <w:t>Цена за ед. без НДС</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Times New Roman" w:eastAsia="Times New Roman" w:hAnsi="Times New Roman" w:cs="Times New Roman"/>
                <w:color w:val="000000"/>
                <w:sz w:val="20"/>
                <w:szCs w:val="20"/>
                <w:lang w:eastAsia="ru-RU"/>
              </w:rPr>
            </w:pPr>
            <w:r w:rsidRPr="00C100A6">
              <w:rPr>
                <w:rFonts w:ascii="Times New Roman" w:eastAsia="Times New Roman" w:hAnsi="Times New Roman" w:cs="Times New Roman"/>
                <w:color w:val="000000"/>
                <w:sz w:val="20"/>
                <w:szCs w:val="20"/>
                <w:lang w:eastAsia="ru-RU"/>
              </w:rPr>
              <w:t>Сумма без НДС</w:t>
            </w:r>
          </w:p>
        </w:tc>
      </w:tr>
      <w:tr w:rsidR="00C100A6" w:rsidRPr="00C100A6" w:rsidTr="00C100A6">
        <w:trPr>
          <w:trHeight w:val="402"/>
        </w:trPr>
        <w:tc>
          <w:tcPr>
            <w:tcW w:w="105"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182"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255"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246"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28"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88"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22"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246"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20" w:type="pct"/>
            <w:vMerge/>
            <w:tcBorders>
              <w:top w:val="single" w:sz="8" w:space="0" w:color="000000"/>
              <w:left w:val="single" w:sz="8" w:space="0" w:color="000000"/>
              <w:bottom w:val="single" w:sz="8" w:space="0" w:color="000000"/>
              <w:right w:val="single" w:sz="4" w:space="0" w:color="auto"/>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558" w:type="pct"/>
            <w:vMerge/>
            <w:tcBorders>
              <w:top w:val="single" w:sz="4" w:space="0" w:color="auto"/>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single" w:sz="4" w:space="0" w:color="auto"/>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single" w:sz="4" w:space="0" w:color="auto"/>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182"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255"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246"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28"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88"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22"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246"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20" w:type="pct"/>
            <w:vMerge/>
            <w:tcBorders>
              <w:top w:val="single" w:sz="8" w:space="0" w:color="000000"/>
              <w:left w:val="single" w:sz="8" w:space="0" w:color="000000"/>
              <w:bottom w:val="single" w:sz="8" w:space="0" w:color="000000"/>
              <w:right w:val="single" w:sz="4" w:space="0" w:color="auto"/>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558" w:type="pct"/>
            <w:vMerge/>
            <w:tcBorders>
              <w:top w:val="single" w:sz="4" w:space="0" w:color="auto"/>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single" w:sz="4" w:space="0" w:color="auto"/>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single" w:sz="4" w:space="0" w:color="auto"/>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1</w:t>
            </w:r>
          </w:p>
        </w:tc>
        <w:tc>
          <w:tcPr>
            <w:tcW w:w="35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 xml:space="preserve">Множественные аналиты мочи ИВД, набор, колориметрический экспресс-анализ, клинический </w:t>
            </w:r>
          </w:p>
        </w:tc>
        <w:tc>
          <w:tcPr>
            <w:tcW w:w="1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10</w:t>
            </w:r>
          </w:p>
        </w:tc>
        <w:tc>
          <w:tcPr>
            <w:tcW w:w="2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21.20.23.110-00011248*</w:t>
            </w:r>
          </w:p>
        </w:tc>
        <w:tc>
          <w:tcPr>
            <w:tcW w:w="2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набор</w:t>
            </w:r>
          </w:p>
        </w:tc>
        <w:tc>
          <w:tcPr>
            <w:tcW w:w="32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18"/>
                <w:szCs w:val="18"/>
                <w:lang w:eastAsia="ru-RU"/>
              </w:rPr>
            </w:pPr>
            <w:r w:rsidRPr="00C100A6">
              <w:rPr>
                <w:rFonts w:ascii="Times New Roman" w:eastAsia="Times New Roman" w:hAnsi="Times New Roman" w:cs="Times New Roman"/>
                <w:b/>
                <w:bCs/>
                <w:color w:val="000000"/>
                <w:sz w:val="18"/>
                <w:szCs w:val="18"/>
                <w:lang w:eastAsia="ru-RU"/>
              </w:rPr>
              <w:t>Кассета с тест-полосками cobas u pack для автоматического анализатора мочи cobas u 601</w:t>
            </w: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18"/>
                <w:szCs w:val="18"/>
                <w:lang w:eastAsia="ru-RU"/>
              </w:rPr>
            </w:pPr>
            <w:r w:rsidRPr="00C100A6">
              <w:rPr>
                <w:rFonts w:ascii="Times New Roman" w:eastAsia="Times New Roman" w:hAnsi="Times New Roman" w:cs="Times New Roman"/>
                <w:b/>
                <w:bCs/>
                <w:color w:val="000000"/>
                <w:sz w:val="18"/>
                <w:szCs w:val="18"/>
                <w:lang w:eastAsia="ru-RU"/>
              </w:rPr>
              <w:t>Характеристики в соответствии с КТРУ:</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55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Calibri" w:eastAsia="Times New Roman" w:hAnsi="Calibri" w:cs="Times New Roman"/>
                <w:color w:val="000000"/>
                <w:lang w:eastAsia="ru-RU"/>
              </w:rPr>
            </w:pPr>
            <w:r w:rsidRPr="00C100A6">
              <w:rPr>
                <w:rFonts w:ascii="Calibri" w:eastAsia="Times New Roman" w:hAnsi="Calibri" w:cs="Times New Roman"/>
                <w:color w:val="000000"/>
                <w:lang w:eastAsia="ru-RU"/>
              </w:rPr>
              <w:t> </w:t>
            </w:r>
          </w:p>
        </w:tc>
        <w:tc>
          <w:tcPr>
            <w:tcW w:w="29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Calibri" w:eastAsia="Times New Roman" w:hAnsi="Calibri" w:cs="Times New Roman"/>
                <w:color w:val="000000"/>
                <w:lang w:eastAsia="ru-RU"/>
              </w:rPr>
            </w:pPr>
            <w:r w:rsidRPr="00C100A6">
              <w:rPr>
                <w:rFonts w:ascii="Calibri" w:eastAsia="Times New Roman" w:hAnsi="Calibri" w:cs="Times New Roman"/>
                <w:color w:val="000000"/>
                <w:lang w:eastAsia="ru-RU"/>
              </w:rPr>
              <w:t> </w:t>
            </w:r>
          </w:p>
        </w:tc>
        <w:tc>
          <w:tcPr>
            <w:tcW w:w="38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Calibri" w:eastAsia="Times New Roman" w:hAnsi="Calibri" w:cs="Times New Roman"/>
                <w:color w:val="000000"/>
                <w:lang w:eastAsia="ru-RU"/>
              </w:rPr>
            </w:pPr>
            <w:r w:rsidRPr="00C100A6">
              <w:rPr>
                <w:rFonts w:ascii="Calibri" w:eastAsia="Times New Roman" w:hAnsi="Calibri" w:cs="Times New Roman"/>
                <w:color w:val="000000"/>
                <w:lang w:eastAsia="ru-RU"/>
              </w:rPr>
              <w:t> </w:t>
            </w:r>
          </w:p>
        </w:tc>
        <w:tc>
          <w:tcPr>
            <w:tcW w:w="32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Calibri" w:eastAsia="Times New Roman" w:hAnsi="Calibri" w:cs="Times New Roman"/>
                <w:color w:val="000000"/>
                <w:lang w:eastAsia="ru-RU"/>
              </w:rPr>
            </w:pPr>
            <w:r w:rsidRPr="00C100A6">
              <w:rPr>
                <w:rFonts w:ascii="Calibri" w:eastAsia="Times New Roman" w:hAnsi="Calibri" w:cs="Times New Roman"/>
                <w:color w:val="000000"/>
                <w:lang w:eastAsia="ru-RU"/>
              </w:rPr>
              <w:t> </w:t>
            </w: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Количественная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Количество выполняемых тестов:</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 380 и ≤ 490</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Штука</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Участник закупки указывает в заявке конкретное значение характеристики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Качественная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Метод:</w:t>
            </w:r>
            <w:r w:rsidRPr="00C100A6">
              <w:rPr>
                <w:rFonts w:ascii="Calibri" w:eastAsia="Times New Roman" w:hAnsi="Calibri" w:cs="Times New Roman"/>
                <w:color w:val="000000"/>
                <w:lang w:eastAsia="ru-RU"/>
              </w:rPr>
              <w:t xml:space="preserve"> </w:t>
            </w:r>
            <w:r w:rsidRPr="00C100A6">
              <w:rPr>
                <w:rFonts w:ascii="Times New Roman" w:eastAsia="Times New Roman" w:hAnsi="Times New Roman" w:cs="Times New Roman"/>
                <w:color w:val="000000"/>
                <w:sz w:val="18"/>
                <w:szCs w:val="18"/>
                <w:lang w:eastAsia="ru-RU"/>
              </w:rPr>
              <w:t>Качественный, Полуколичественный</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Наличие</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Значение характеристики не может изменятся</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Качественная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Назначение: для анализаторов серии Сobas u 601</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Наличие</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Значение характеристики не может изменятся</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18"/>
                <w:szCs w:val="18"/>
                <w:lang w:eastAsia="ru-RU"/>
              </w:rPr>
            </w:pPr>
            <w:r w:rsidRPr="00C100A6">
              <w:rPr>
                <w:rFonts w:ascii="Times New Roman" w:eastAsia="Times New Roman" w:hAnsi="Times New Roman" w:cs="Times New Roman"/>
                <w:b/>
                <w:bCs/>
                <w:color w:val="000000"/>
                <w:sz w:val="18"/>
                <w:szCs w:val="18"/>
                <w:lang w:eastAsia="ru-RU"/>
              </w:rPr>
              <w:t>Дополнительные характеристики:</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Качественная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Описание: кассета с тест-полосками для качественного или полуколичественного измерения pH, лейкоцитов, нитритов, белков, глюкозы, кетонов, уробилиногена, билирубина, цвета и эритроцитов в моче на автоматическом анализаторе мочи</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Наличие</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Обусловлено требованиями к оптимизации лабораторного процесса при эксплуатации оборудования</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Значение характеристики не может изменятся участником закупки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Количественная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Количество определяемых параметров</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Не менее 10</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Штука</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Из расчета на определенное количество исследований на анализаторе</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Участник закупки указывает в заявке конкретное значение характеристики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2</w:t>
            </w:r>
          </w:p>
        </w:tc>
        <w:tc>
          <w:tcPr>
            <w:tcW w:w="35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 xml:space="preserve">Кювета для лабораторного анализатора ИВД, одноразового использования </w:t>
            </w:r>
          </w:p>
        </w:tc>
        <w:tc>
          <w:tcPr>
            <w:tcW w:w="1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3</w:t>
            </w:r>
          </w:p>
        </w:tc>
        <w:tc>
          <w:tcPr>
            <w:tcW w:w="2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32.50.50.190-00002993*</w:t>
            </w:r>
          </w:p>
        </w:tc>
        <w:tc>
          <w:tcPr>
            <w:tcW w:w="2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Штука</w:t>
            </w:r>
          </w:p>
        </w:tc>
        <w:tc>
          <w:tcPr>
            <w:tcW w:w="32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18"/>
                <w:szCs w:val="18"/>
                <w:lang w:eastAsia="ru-RU"/>
              </w:rPr>
            </w:pPr>
            <w:r w:rsidRPr="00C100A6">
              <w:rPr>
                <w:rFonts w:ascii="Times New Roman" w:eastAsia="Times New Roman" w:hAnsi="Times New Roman" w:cs="Times New Roman"/>
                <w:b/>
                <w:bCs/>
                <w:color w:val="000000" w:themeColor="text1"/>
                <w:sz w:val="18"/>
                <w:szCs w:val="18"/>
                <w:lang w:eastAsia="ru-RU"/>
              </w:rPr>
              <w:t>Кассета cobas и cuvette для автоматического анализатора осадка мочи cobas u 701</w:t>
            </w: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18"/>
                <w:szCs w:val="18"/>
                <w:lang w:eastAsia="ru-RU"/>
              </w:rPr>
            </w:pPr>
            <w:r w:rsidRPr="00C100A6">
              <w:rPr>
                <w:rFonts w:ascii="Times New Roman" w:eastAsia="Times New Roman" w:hAnsi="Times New Roman" w:cs="Times New Roman"/>
                <w:b/>
                <w:bCs/>
                <w:color w:val="000000" w:themeColor="text1"/>
                <w:sz w:val="18"/>
                <w:szCs w:val="18"/>
                <w:lang w:eastAsia="ru-RU"/>
              </w:rPr>
              <w:t>Характеристики в соответствии с КТРУ:</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 </w:t>
            </w:r>
          </w:p>
        </w:tc>
        <w:tc>
          <w:tcPr>
            <w:tcW w:w="55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Calibri" w:eastAsia="Times New Roman" w:hAnsi="Calibri" w:cs="Times New Roman"/>
                <w:color w:val="000000"/>
                <w:lang w:eastAsia="ru-RU"/>
              </w:rPr>
            </w:pPr>
            <w:r w:rsidRPr="00C100A6">
              <w:rPr>
                <w:rFonts w:ascii="Calibri" w:eastAsia="Times New Roman" w:hAnsi="Calibri" w:cs="Times New Roman"/>
                <w:color w:val="000000"/>
                <w:lang w:eastAsia="ru-RU"/>
              </w:rPr>
              <w:t> </w:t>
            </w:r>
          </w:p>
        </w:tc>
        <w:tc>
          <w:tcPr>
            <w:tcW w:w="29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Calibri" w:eastAsia="Times New Roman" w:hAnsi="Calibri" w:cs="Times New Roman"/>
                <w:color w:val="000000"/>
                <w:lang w:eastAsia="ru-RU"/>
              </w:rPr>
            </w:pPr>
            <w:r w:rsidRPr="00C100A6">
              <w:rPr>
                <w:rFonts w:ascii="Calibri" w:eastAsia="Times New Roman" w:hAnsi="Calibri" w:cs="Times New Roman"/>
                <w:color w:val="000000"/>
                <w:lang w:eastAsia="ru-RU"/>
              </w:rPr>
              <w:t> </w:t>
            </w:r>
          </w:p>
        </w:tc>
        <w:tc>
          <w:tcPr>
            <w:tcW w:w="38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Calibri" w:eastAsia="Times New Roman" w:hAnsi="Calibri" w:cs="Times New Roman"/>
                <w:color w:val="000000"/>
                <w:lang w:eastAsia="ru-RU"/>
              </w:rPr>
            </w:pPr>
            <w:r w:rsidRPr="00C100A6">
              <w:rPr>
                <w:rFonts w:ascii="Calibri" w:eastAsia="Times New Roman" w:hAnsi="Calibri" w:cs="Times New Roman"/>
                <w:color w:val="000000"/>
                <w:lang w:eastAsia="ru-RU"/>
              </w:rPr>
              <w:t> </w:t>
            </w:r>
          </w:p>
        </w:tc>
        <w:tc>
          <w:tcPr>
            <w:tcW w:w="32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100A6" w:rsidRPr="00C100A6" w:rsidRDefault="00C100A6" w:rsidP="00C100A6">
            <w:pPr>
              <w:spacing w:after="0" w:line="240" w:lineRule="auto"/>
              <w:jc w:val="center"/>
              <w:rPr>
                <w:rFonts w:ascii="Calibri" w:eastAsia="Times New Roman" w:hAnsi="Calibri" w:cs="Times New Roman"/>
                <w:color w:val="000000"/>
                <w:lang w:eastAsia="ru-RU"/>
              </w:rPr>
            </w:pPr>
            <w:r w:rsidRPr="00C100A6">
              <w:rPr>
                <w:rFonts w:ascii="Calibri" w:eastAsia="Times New Roman" w:hAnsi="Calibri" w:cs="Times New Roman"/>
                <w:color w:val="000000"/>
                <w:lang w:eastAsia="ru-RU"/>
              </w:rPr>
              <w:t> </w:t>
            </w: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Качественная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Назначение: для анализаторов серии Cobas</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Наличие</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b/>
                <w:bCs/>
                <w:color w:val="000000"/>
                <w:sz w:val="18"/>
                <w:szCs w:val="18"/>
                <w:lang w:eastAsia="ru-RU"/>
              </w:rPr>
            </w:pPr>
            <w:r w:rsidRPr="00C100A6">
              <w:rPr>
                <w:rFonts w:ascii="Times New Roman" w:eastAsia="Times New Roman" w:hAnsi="Times New Roman" w:cs="Times New Roman"/>
                <w:b/>
                <w:bCs/>
                <w:color w:val="000000" w:themeColor="text1"/>
                <w:sz w:val="18"/>
                <w:szCs w:val="18"/>
                <w:lang w:eastAsia="ru-RU"/>
              </w:rPr>
              <w:t>Дополнительные характеристики:</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 </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Качественная</w:t>
            </w:r>
          </w:p>
        </w:tc>
        <w:tc>
          <w:tcPr>
            <w:tcW w:w="388" w:type="pct"/>
            <w:tcBorders>
              <w:top w:val="nil"/>
              <w:left w:val="nil"/>
              <w:bottom w:val="nil"/>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Описание:</w:t>
            </w:r>
          </w:p>
        </w:tc>
        <w:tc>
          <w:tcPr>
            <w:tcW w:w="32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Наличие</w:t>
            </w:r>
          </w:p>
        </w:tc>
        <w:tc>
          <w:tcPr>
            <w:tcW w:w="2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5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Обусловлено требованиями к оптимизации лабораторного процесса при эксплуатации оборудования</w:t>
            </w:r>
          </w:p>
        </w:tc>
        <w:tc>
          <w:tcPr>
            <w:tcW w:w="320" w:type="pct"/>
            <w:vMerge w:val="restart"/>
            <w:tcBorders>
              <w:top w:val="nil"/>
              <w:left w:val="single" w:sz="8" w:space="0" w:color="000000"/>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Значение характеристики не может изменятся участником закупки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для количественного in vitro определения эритроцитов и лейкоцитов, полуколичественного определения клеток плоского эпителия и неплоскоклеточных эпителиальных клеток, бактерий, гиалиновых цилиндров и качественного определения патологических цилиндров, кристаллов, дрожжей, слизи и спермы в моче при использовании автоматического анализатора осадка мочи cobas u 701</w:t>
            </w:r>
          </w:p>
        </w:tc>
        <w:tc>
          <w:tcPr>
            <w:tcW w:w="32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0" w:type="pct"/>
            <w:vMerge/>
            <w:tcBorders>
              <w:top w:val="nil"/>
              <w:left w:val="single" w:sz="8" w:space="0" w:color="000000"/>
              <w:bottom w:val="single" w:sz="8" w:space="0" w:color="000000"/>
              <w:right w:val="nil"/>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Количественная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Количество кювет в кассете</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Не менее 400</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Штука</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Из расчета на определенное количество исследований на анализаторе</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Участник закупки указывает в заявке конкретное значение характеристики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Качественная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Хранение: при температуре не ниже 2°С и не выше 40°С</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Соответствие</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Обусловлено требованиями к оптимизации лабораторного процесса при эксплуатации оборудования</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Значение характеристики не может изменятся участником закупки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Качественная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Состав: Рабочий раствор, готовый к применению</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Соответствие</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Обусловлено требованиями к оптимизации лабораторного процесса при эксплуатации оборудования</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Значение характеристики не может изменятся участником закупки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Качественная</w:t>
            </w: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Материал кюветы: Полимер</w:t>
            </w:r>
          </w:p>
        </w:tc>
        <w:tc>
          <w:tcPr>
            <w:tcW w:w="322"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Наличие</w:t>
            </w:r>
          </w:p>
        </w:tc>
        <w:tc>
          <w:tcPr>
            <w:tcW w:w="246"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53"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Обусловлено требованиями к оптимизации эксплуатации имеющегося оборудования</w:t>
            </w:r>
          </w:p>
        </w:tc>
        <w:tc>
          <w:tcPr>
            <w:tcW w:w="320" w:type="pct"/>
            <w:tcBorders>
              <w:top w:val="nil"/>
              <w:left w:val="nil"/>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Значение характеристики не может изменятся участником закупки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Качественная</w:t>
            </w:r>
          </w:p>
        </w:tc>
        <w:tc>
          <w:tcPr>
            <w:tcW w:w="388" w:type="pct"/>
            <w:tcBorders>
              <w:top w:val="nil"/>
              <w:left w:val="nil"/>
              <w:bottom w:val="nil"/>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Упаковка: Первичная - полиэтилен</w:t>
            </w:r>
          </w:p>
        </w:tc>
        <w:tc>
          <w:tcPr>
            <w:tcW w:w="32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Наличие</w:t>
            </w:r>
          </w:p>
        </w:tc>
        <w:tc>
          <w:tcPr>
            <w:tcW w:w="2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w:t>
            </w:r>
          </w:p>
        </w:tc>
        <w:tc>
          <w:tcPr>
            <w:tcW w:w="35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Обусловлено требованиями к оптимизации эксплуатации имеющегося оборудования</w:t>
            </w:r>
          </w:p>
        </w:tc>
        <w:tc>
          <w:tcPr>
            <w:tcW w:w="320" w:type="pct"/>
            <w:vMerge w:val="restart"/>
            <w:tcBorders>
              <w:top w:val="nil"/>
              <w:left w:val="single" w:sz="8" w:space="0" w:color="000000"/>
              <w:bottom w:val="single" w:sz="8" w:space="0" w:color="000000"/>
              <w:right w:val="nil"/>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themeColor="text1"/>
                <w:sz w:val="18"/>
                <w:szCs w:val="18"/>
                <w:lang w:eastAsia="ru-RU"/>
              </w:rPr>
              <w:t>Значение характеристики не может изменятся участником закупки</w:t>
            </w: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r w:rsidR="00C100A6" w:rsidRPr="00C100A6" w:rsidTr="00C100A6">
        <w:trPr>
          <w:trHeight w:val="402"/>
        </w:trPr>
        <w:tc>
          <w:tcPr>
            <w:tcW w:w="10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18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55"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8"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b/>
                <w:bCs/>
                <w:color w:val="000000"/>
                <w:sz w:val="18"/>
                <w:szCs w:val="18"/>
                <w:lang w:eastAsia="ru-RU"/>
              </w:rPr>
            </w:pPr>
          </w:p>
        </w:tc>
        <w:tc>
          <w:tcPr>
            <w:tcW w:w="341"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88" w:type="pct"/>
            <w:tcBorders>
              <w:top w:val="nil"/>
              <w:left w:val="nil"/>
              <w:bottom w:val="single" w:sz="8" w:space="0" w:color="000000"/>
              <w:right w:val="single" w:sz="8" w:space="0" w:color="000000"/>
            </w:tcBorders>
            <w:shd w:val="clear" w:color="auto" w:fill="auto"/>
            <w:vAlign w:val="center"/>
            <w:hideMark/>
          </w:tcPr>
          <w:p w:rsidR="00C100A6" w:rsidRPr="00C100A6" w:rsidRDefault="00C100A6" w:rsidP="00C100A6">
            <w:pPr>
              <w:spacing w:after="0" w:line="240" w:lineRule="auto"/>
              <w:jc w:val="center"/>
              <w:rPr>
                <w:rFonts w:ascii="Times New Roman" w:eastAsia="Times New Roman" w:hAnsi="Times New Roman" w:cs="Times New Roman"/>
                <w:color w:val="000000"/>
                <w:sz w:val="18"/>
                <w:szCs w:val="18"/>
                <w:lang w:eastAsia="ru-RU"/>
              </w:rPr>
            </w:pPr>
            <w:r w:rsidRPr="00C100A6">
              <w:rPr>
                <w:rFonts w:ascii="Times New Roman" w:eastAsia="Times New Roman" w:hAnsi="Times New Roman" w:cs="Times New Roman"/>
                <w:color w:val="000000"/>
                <w:sz w:val="18"/>
                <w:szCs w:val="18"/>
                <w:lang w:eastAsia="ru-RU"/>
              </w:rPr>
              <w:t>вторичная - белая картонная коробка с штрих-кодом, содержит инструкцию по применению</w:t>
            </w:r>
          </w:p>
        </w:tc>
        <w:tc>
          <w:tcPr>
            <w:tcW w:w="322"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246"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000000"/>
              <w:bottom w:val="single" w:sz="8" w:space="0" w:color="000000"/>
              <w:right w:val="single" w:sz="8" w:space="0" w:color="000000"/>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320" w:type="pct"/>
            <w:vMerge/>
            <w:tcBorders>
              <w:top w:val="nil"/>
              <w:left w:val="single" w:sz="8" w:space="0" w:color="000000"/>
              <w:bottom w:val="single" w:sz="8" w:space="0" w:color="000000"/>
              <w:right w:val="nil"/>
            </w:tcBorders>
            <w:vAlign w:val="center"/>
            <w:hideMark/>
          </w:tcPr>
          <w:p w:rsidR="00C100A6" w:rsidRPr="00C100A6" w:rsidRDefault="00C100A6" w:rsidP="00C100A6">
            <w:pPr>
              <w:spacing w:after="0" w:line="240" w:lineRule="auto"/>
              <w:rPr>
                <w:rFonts w:ascii="Times New Roman" w:eastAsia="Times New Roman" w:hAnsi="Times New Roman" w:cs="Times New Roman"/>
                <w:color w:val="000000"/>
                <w:sz w:val="18"/>
                <w:szCs w:val="18"/>
                <w:lang w:eastAsia="ru-RU"/>
              </w:rPr>
            </w:pPr>
          </w:p>
        </w:tc>
        <w:tc>
          <w:tcPr>
            <w:tcW w:w="55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295"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88"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c>
          <w:tcPr>
            <w:tcW w:w="320" w:type="pct"/>
            <w:vMerge/>
            <w:tcBorders>
              <w:top w:val="nil"/>
              <w:left w:val="single" w:sz="4" w:space="0" w:color="auto"/>
              <w:bottom w:val="single" w:sz="4" w:space="0" w:color="000000"/>
              <w:right w:val="single" w:sz="4" w:space="0" w:color="auto"/>
            </w:tcBorders>
            <w:vAlign w:val="center"/>
            <w:hideMark/>
          </w:tcPr>
          <w:p w:rsidR="00C100A6" w:rsidRPr="00C100A6" w:rsidRDefault="00C100A6" w:rsidP="00C100A6">
            <w:pPr>
              <w:spacing w:after="0" w:line="240" w:lineRule="auto"/>
              <w:rPr>
                <w:rFonts w:ascii="Calibri" w:eastAsia="Times New Roman" w:hAnsi="Calibri" w:cs="Times New Roman"/>
                <w:color w:val="000000"/>
                <w:lang w:eastAsia="ru-RU"/>
              </w:rPr>
            </w:pPr>
          </w:p>
        </w:tc>
      </w:tr>
    </w:tbl>
    <w:p w:rsidR="00C100A6" w:rsidRDefault="00C100A6" w:rsidP="00C100A6">
      <w:pPr>
        <w:rPr>
          <w:rFonts w:ascii="Times New Roman" w:hAnsi="Times New Roman" w:cs="Times New Roman"/>
          <w:b/>
          <w:sz w:val="28"/>
          <w:szCs w:val="28"/>
        </w:rPr>
      </w:pPr>
      <w:r w:rsidRPr="00CF1F81">
        <w:rPr>
          <w:rFonts w:ascii="Times New Roman" w:hAnsi="Times New Roman" w:cs="Times New Roman"/>
          <w:b/>
          <w:sz w:val="28"/>
          <w:szCs w:val="28"/>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C100A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80F" w:rsidRDefault="00C0580F">
      <w:pPr>
        <w:spacing w:after="0" w:line="240" w:lineRule="auto"/>
      </w:pPr>
      <w:r>
        <w:separator/>
      </w:r>
    </w:p>
  </w:endnote>
  <w:endnote w:type="continuationSeparator" w:id="0">
    <w:p w:rsidR="00C0580F" w:rsidRDefault="00C0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A1C07" w:rsidRDefault="000A1C0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A1C0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A1C0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A1C0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A1C0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100A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A1C0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100A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80F" w:rsidRDefault="00C0580F">
      <w:pPr>
        <w:spacing w:after="0" w:line="240" w:lineRule="auto"/>
      </w:pPr>
      <w:r>
        <w:separator/>
      </w:r>
    </w:p>
  </w:footnote>
  <w:footnote w:type="continuationSeparator" w:id="0">
    <w:p w:rsidR="00C0580F" w:rsidRDefault="00C0580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A1C07" w:rsidRDefault="000A1C0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A1C07" w:rsidRDefault="000A1C0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A1C07" w:rsidRDefault="000A1C0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1C07"/>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0580F"/>
    <w:rsid w:val="00C100A6"/>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132">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9CFB-BC5B-439C-9313-E1D49487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1473</Words>
  <Characters>8399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2025-11-12T11:20:00Z</dcterms:created>
  <dcterms:modified xsi:type="dcterms:W3CDTF">2025-11-12T11:20:00Z</dcterms:modified>
</cp:coreProperties>
</file>