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06.11.2026 № 21.1-03/2382</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13.11.2026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150E08">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646BD7">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646BD7">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646BD7">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реагентов  для отделения лабораторной диагностики</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646BD7">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646BD7">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646BD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646BD7">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646BD7">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646BD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646BD7">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646BD7">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646BD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646BD7">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646BD7">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646BD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31.03.2027</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646BD7">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646BD7">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646BD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заявки от Покупателя. Последняя дата подачи заявки на поставку 23.03.2027 Максимальное количество партий – 4 (четыре).</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646BD7">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646BD7">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646BD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РУ</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646BD7">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646BD7">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646BD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646BD7">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646BD7">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646BD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646BD7">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646BD7">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646BD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646BD7">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646BD7">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646BD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646BD7">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646BD7">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646BD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646BD7">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646BD7">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646BD7">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646BD7">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646BD7">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646BD7">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646BD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 (реестровая запись)</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646BD7">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646BD7">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lastRenderedPageBreak/>
              <w:t>(при наличии ПП № 2571)</w:t>
            </w:r>
          </w:p>
        </w:tc>
        <w:tc>
          <w:tcPr>
            <w:tcW w:w="4692" w:type="dxa"/>
          </w:tcPr>
          <w:p w:rsidR="00C14573" w:rsidRDefault="00C14573" w:rsidP="00646BD7">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lastRenderedPageBreak/>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646BD7">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646BD7">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646BD7">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646BD7">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646BD7">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646BD7">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5835" w:type="dxa"/>
        <w:tblInd w:w="113" w:type="dxa"/>
        <w:tblLook w:val="04A0" w:firstRow="1" w:lastRow="0" w:firstColumn="1" w:lastColumn="0" w:noHBand="0" w:noVBand="1"/>
      </w:tblPr>
      <w:tblGrid>
        <w:gridCol w:w="417"/>
        <w:gridCol w:w="1504"/>
        <w:gridCol w:w="1005"/>
        <w:gridCol w:w="1552"/>
        <w:gridCol w:w="1577"/>
        <w:gridCol w:w="1247"/>
        <w:gridCol w:w="1608"/>
        <w:gridCol w:w="1766"/>
        <w:gridCol w:w="979"/>
        <w:gridCol w:w="924"/>
        <w:gridCol w:w="1199"/>
        <w:gridCol w:w="664"/>
        <w:gridCol w:w="742"/>
        <w:gridCol w:w="651"/>
      </w:tblGrid>
      <w:tr w:rsidR="00646BD7" w:rsidRPr="00646BD7" w:rsidTr="00646BD7">
        <w:trPr>
          <w:trHeight w:val="1091"/>
        </w:trPr>
        <w:tc>
          <w:tcPr>
            <w:tcW w:w="41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46BD7" w:rsidRPr="004A668F" w:rsidRDefault="00646BD7" w:rsidP="00646BD7">
            <w:pPr>
              <w:spacing w:after="0" w:line="240" w:lineRule="auto"/>
              <w:jc w:val="center"/>
              <w:rPr>
                <w:rFonts w:ascii="Times New Roman" w:eastAsia="Times New Roman" w:hAnsi="Times New Roman" w:cs="Times New Roman"/>
                <w:b/>
                <w:sz w:val="14"/>
                <w:szCs w:val="14"/>
                <w:lang w:eastAsia="ru-RU"/>
              </w:rPr>
            </w:pPr>
            <w:r w:rsidRPr="004A668F">
              <w:rPr>
                <w:rFonts w:ascii="Times New Roman" w:eastAsia="Times New Roman" w:hAnsi="Times New Roman" w:cs="Times New Roman"/>
                <w:b/>
                <w:sz w:val="14"/>
                <w:szCs w:val="14"/>
                <w:lang w:eastAsia="ru-RU"/>
              </w:rPr>
              <w:t>№ п/п</w:t>
            </w:r>
          </w:p>
        </w:tc>
        <w:tc>
          <w:tcPr>
            <w:tcW w:w="1504" w:type="dxa"/>
            <w:tcBorders>
              <w:top w:val="single" w:sz="4" w:space="0" w:color="auto"/>
              <w:left w:val="single" w:sz="4" w:space="0" w:color="auto"/>
              <w:bottom w:val="single" w:sz="4" w:space="0" w:color="auto"/>
              <w:right w:val="single" w:sz="4" w:space="0" w:color="auto"/>
            </w:tcBorders>
            <w:vAlign w:val="center"/>
            <w:hideMark/>
          </w:tcPr>
          <w:p w:rsidR="00646BD7" w:rsidRPr="008067C8" w:rsidRDefault="00646BD7" w:rsidP="00646BD7">
            <w:pPr>
              <w:spacing w:after="0" w:line="240" w:lineRule="auto"/>
              <w:jc w:val="center"/>
              <w:rPr>
                <w:rFonts w:ascii="Times New Roman" w:eastAsia="Times New Roman" w:hAnsi="Times New Roman" w:cs="Times New Roman"/>
                <w:b/>
                <w:bCs/>
                <w:color w:val="000000"/>
                <w:sz w:val="14"/>
                <w:szCs w:val="14"/>
                <w:lang w:eastAsia="ru-RU"/>
              </w:rPr>
            </w:pPr>
            <w:r w:rsidRPr="008067C8">
              <w:rPr>
                <w:rFonts w:ascii="Times New Roman" w:eastAsia="Times New Roman" w:hAnsi="Times New Roman" w:cs="Times New Roman"/>
                <w:b/>
                <w:bCs/>
                <w:color w:val="000000"/>
                <w:sz w:val="14"/>
                <w:szCs w:val="14"/>
                <w:lang w:eastAsia="ru-RU"/>
              </w:rPr>
              <w:t>Наименование товара, работы, услуги</w:t>
            </w:r>
          </w:p>
        </w:tc>
        <w:tc>
          <w:tcPr>
            <w:tcW w:w="1005" w:type="dxa"/>
            <w:tcBorders>
              <w:top w:val="single" w:sz="4" w:space="0" w:color="auto"/>
              <w:left w:val="single" w:sz="4" w:space="0" w:color="auto"/>
              <w:bottom w:val="single" w:sz="4" w:space="0" w:color="auto"/>
              <w:right w:val="single" w:sz="4" w:space="0" w:color="auto"/>
            </w:tcBorders>
            <w:vAlign w:val="center"/>
            <w:hideMark/>
          </w:tcPr>
          <w:p w:rsidR="00646BD7" w:rsidRPr="008067C8" w:rsidRDefault="00646BD7" w:rsidP="00646BD7">
            <w:pPr>
              <w:spacing w:after="0" w:line="240" w:lineRule="auto"/>
              <w:jc w:val="center"/>
              <w:rPr>
                <w:rFonts w:ascii="Times New Roman" w:eastAsia="Times New Roman" w:hAnsi="Times New Roman" w:cs="Times New Roman"/>
                <w:b/>
                <w:bCs/>
                <w:color w:val="000000"/>
                <w:sz w:val="14"/>
                <w:szCs w:val="14"/>
                <w:lang w:eastAsia="ru-RU"/>
              </w:rPr>
            </w:pPr>
            <w:r w:rsidRPr="008067C8">
              <w:rPr>
                <w:rFonts w:ascii="Times New Roman" w:eastAsia="Times New Roman" w:hAnsi="Times New Roman" w:cs="Times New Roman"/>
                <w:b/>
                <w:bCs/>
                <w:color w:val="000000"/>
                <w:sz w:val="14"/>
                <w:szCs w:val="14"/>
                <w:lang w:eastAsia="ru-RU"/>
              </w:rPr>
              <w:t>Код позиции</w:t>
            </w:r>
          </w:p>
        </w:tc>
        <w:tc>
          <w:tcPr>
            <w:tcW w:w="1552" w:type="dxa"/>
            <w:tcBorders>
              <w:top w:val="single" w:sz="4" w:space="0" w:color="auto"/>
              <w:left w:val="nil"/>
              <w:bottom w:val="single" w:sz="4" w:space="0" w:color="auto"/>
              <w:right w:val="single" w:sz="4" w:space="0" w:color="auto"/>
            </w:tcBorders>
            <w:vAlign w:val="center"/>
            <w:hideMark/>
          </w:tcPr>
          <w:p w:rsidR="00646BD7" w:rsidRPr="008067C8" w:rsidRDefault="00646BD7" w:rsidP="00646BD7">
            <w:pPr>
              <w:spacing w:after="0" w:line="240" w:lineRule="auto"/>
              <w:jc w:val="center"/>
              <w:rPr>
                <w:rFonts w:ascii="Times New Roman" w:eastAsia="Times New Roman" w:hAnsi="Times New Roman" w:cs="Times New Roman"/>
                <w:b/>
                <w:bCs/>
                <w:color w:val="000000"/>
                <w:sz w:val="14"/>
                <w:szCs w:val="14"/>
                <w:lang w:eastAsia="ru-RU"/>
              </w:rPr>
            </w:pPr>
            <w:r w:rsidRPr="008067C8">
              <w:rPr>
                <w:rFonts w:ascii="Times New Roman" w:eastAsia="Times New Roman" w:hAnsi="Times New Roman" w:cs="Times New Roman"/>
                <w:b/>
                <w:bCs/>
                <w:color w:val="000000"/>
                <w:sz w:val="14"/>
                <w:szCs w:val="14"/>
                <w:lang w:eastAsia="ru-RU"/>
              </w:rPr>
              <w:t>Наименование характеристики</w:t>
            </w:r>
          </w:p>
        </w:tc>
        <w:tc>
          <w:tcPr>
            <w:tcW w:w="1577" w:type="dxa"/>
            <w:tcBorders>
              <w:top w:val="single" w:sz="4" w:space="0" w:color="auto"/>
              <w:left w:val="nil"/>
              <w:bottom w:val="single" w:sz="4" w:space="0" w:color="auto"/>
              <w:right w:val="single" w:sz="4" w:space="0" w:color="auto"/>
            </w:tcBorders>
            <w:vAlign w:val="center"/>
            <w:hideMark/>
          </w:tcPr>
          <w:p w:rsidR="00646BD7" w:rsidRPr="008067C8" w:rsidRDefault="00646BD7" w:rsidP="00646BD7">
            <w:pPr>
              <w:spacing w:after="0" w:line="240" w:lineRule="auto"/>
              <w:jc w:val="center"/>
              <w:rPr>
                <w:rFonts w:ascii="Times New Roman" w:eastAsia="Times New Roman" w:hAnsi="Times New Roman" w:cs="Times New Roman"/>
                <w:b/>
                <w:bCs/>
                <w:color w:val="000000"/>
                <w:sz w:val="14"/>
                <w:szCs w:val="14"/>
                <w:lang w:eastAsia="ru-RU"/>
              </w:rPr>
            </w:pPr>
            <w:r w:rsidRPr="008067C8">
              <w:rPr>
                <w:rFonts w:ascii="Times New Roman" w:eastAsia="Times New Roman" w:hAnsi="Times New Roman" w:cs="Times New Roman"/>
                <w:b/>
                <w:bCs/>
                <w:color w:val="000000"/>
                <w:sz w:val="14"/>
                <w:szCs w:val="14"/>
                <w:lang w:eastAsia="ru-RU"/>
              </w:rPr>
              <w:t>Значение характеристики</w:t>
            </w:r>
          </w:p>
        </w:tc>
        <w:tc>
          <w:tcPr>
            <w:tcW w:w="1247" w:type="dxa"/>
            <w:tcBorders>
              <w:top w:val="single" w:sz="4" w:space="0" w:color="auto"/>
              <w:left w:val="nil"/>
              <w:bottom w:val="single" w:sz="4" w:space="0" w:color="auto"/>
              <w:right w:val="single" w:sz="4" w:space="0" w:color="auto"/>
            </w:tcBorders>
            <w:vAlign w:val="center"/>
            <w:hideMark/>
          </w:tcPr>
          <w:p w:rsidR="00646BD7" w:rsidRPr="008067C8" w:rsidRDefault="00646BD7" w:rsidP="00646BD7">
            <w:pPr>
              <w:spacing w:after="0" w:line="240" w:lineRule="auto"/>
              <w:jc w:val="center"/>
              <w:rPr>
                <w:rFonts w:ascii="Times New Roman" w:eastAsia="Times New Roman" w:hAnsi="Times New Roman" w:cs="Times New Roman"/>
                <w:b/>
                <w:bCs/>
                <w:color w:val="000000"/>
                <w:sz w:val="14"/>
                <w:szCs w:val="14"/>
                <w:lang w:eastAsia="ru-RU"/>
              </w:rPr>
            </w:pPr>
            <w:r w:rsidRPr="008067C8">
              <w:rPr>
                <w:rFonts w:ascii="Times New Roman" w:eastAsia="Times New Roman" w:hAnsi="Times New Roman" w:cs="Times New Roman"/>
                <w:b/>
                <w:bCs/>
                <w:color w:val="000000"/>
                <w:sz w:val="14"/>
                <w:szCs w:val="14"/>
                <w:lang w:eastAsia="ru-RU"/>
              </w:rPr>
              <w:t>Единица измерения характеристики</w:t>
            </w:r>
          </w:p>
        </w:tc>
        <w:tc>
          <w:tcPr>
            <w:tcW w:w="1608" w:type="dxa"/>
            <w:tcBorders>
              <w:top w:val="single" w:sz="4" w:space="0" w:color="auto"/>
              <w:left w:val="nil"/>
              <w:bottom w:val="single" w:sz="4" w:space="0" w:color="auto"/>
              <w:right w:val="single" w:sz="4" w:space="0" w:color="auto"/>
            </w:tcBorders>
            <w:vAlign w:val="center"/>
            <w:hideMark/>
          </w:tcPr>
          <w:p w:rsidR="00646BD7" w:rsidRPr="008067C8" w:rsidRDefault="00646BD7" w:rsidP="00646BD7">
            <w:pPr>
              <w:spacing w:after="0" w:line="240" w:lineRule="auto"/>
              <w:jc w:val="center"/>
              <w:rPr>
                <w:rFonts w:ascii="Times New Roman" w:eastAsia="Times New Roman" w:hAnsi="Times New Roman" w:cs="Times New Roman"/>
                <w:b/>
                <w:bCs/>
                <w:color w:val="000000"/>
                <w:sz w:val="14"/>
                <w:szCs w:val="14"/>
                <w:lang w:eastAsia="ru-RU"/>
              </w:rPr>
            </w:pPr>
            <w:r w:rsidRPr="008067C8">
              <w:rPr>
                <w:rFonts w:ascii="Times New Roman" w:eastAsia="Times New Roman" w:hAnsi="Times New Roman" w:cs="Times New Roman"/>
                <w:b/>
                <w:bCs/>
                <w:color w:val="000000"/>
                <w:sz w:val="14"/>
                <w:szCs w:val="14"/>
                <w:lang w:eastAsia="ru-RU"/>
              </w:rPr>
              <w:t>Инструкция по заполнению характеристик в заявке</w:t>
            </w:r>
          </w:p>
        </w:tc>
        <w:tc>
          <w:tcPr>
            <w:tcW w:w="1766" w:type="dxa"/>
            <w:tcBorders>
              <w:top w:val="single" w:sz="4" w:space="0" w:color="000000"/>
              <w:left w:val="nil"/>
              <w:bottom w:val="single" w:sz="4" w:space="0" w:color="000000"/>
              <w:right w:val="single" w:sz="4" w:space="0" w:color="000000"/>
            </w:tcBorders>
            <w:shd w:val="clear" w:color="auto" w:fill="auto"/>
            <w:vAlign w:val="center"/>
            <w:hideMark/>
          </w:tcPr>
          <w:p w:rsidR="00646BD7" w:rsidRPr="008067C8" w:rsidRDefault="00646BD7" w:rsidP="00646BD7">
            <w:pPr>
              <w:spacing w:after="0" w:line="240" w:lineRule="auto"/>
              <w:jc w:val="center"/>
              <w:rPr>
                <w:rFonts w:ascii="Times New Roman" w:eastAsia="Times New Roman" w:hAnsi="Times New Roman" w:cs="Times New Roman"/>
                <w:sz w:val="14"/>
                <w:szCs w:val="14"/>
                <w:lang w:eastAsia="ru-RU"/>
              </w:rPr>
            </w:pPr>
            <w:r w:rsidRPr="008067C8">
              <w:rPr>
                <w:rFonts w:ascii="Times New Roman" w:eastAsia="Times New Roman" w:hAnsi="Times New Roman" w:cs="Times New Roman"/>
                <w:b/>
                <w:bCs/>
                <w:color w:val="000000"/>
                <w:sz w:val="14"/>
                <w:szCs w:val="14"/>
                <w:lang w:eastAsia="ru-RU"/>
              </w:rPr>
              <w:t>Обоснование дополнительных характеристик</w:t>
            </w:r>
          </w:p>
        </w:tc>
        <w:tc>
          <w:tcPr>
            <w:tcW w:w="979" w:type="dxa"/>
            <w:tcBorders>
              <w:top w:val="single" w:sz="4" w:space="0" w:color="auto"/>
              <w:left w:val="single" w:sz="4" w:space="0" w:color="auto"/>
              <w:bottom w:val="single" w:sz="4" w:space="0" w:color="auto"/>
              <w:right w:val="single" w:sz="4" w:space="0" w:color="auto"/>
            </w:tcBorders>
            <w:vAlign w:val="center"/>
            <w:hideMark/>
          </w:tcPr>
          <w:p w:rsidR="00646BD7" w:rsidRPr="008067C8" w:rsidRDefault="00646BD7" w:rsidP="00646BD7">
            <w:pPr>
              <w:spacing w:after="0" w:line="240" w:lineRule="auto"/>
              <w:jc w:val="center"/>
              <w:rPr>
                <w:rFonts w:ascii="Times New Roman" w:eastAsia="Times New Roman" w:hAnsi="Times New Roman" w:cs="Times New Roman"/>
                <w:b/>
                <w:bCs/>
                <w:color w:val="000000"/>
                <w:sz w:val="14"/>
                <w:szCs w:val="14"/>
                <w:lang w:eastAsia="ru-RU"/>
              </w:rPr>
            </w:pPr>
            <w:r w:rsidRPr="008067C8">
              <w:rPr>
                <w:rFonts w:ascii="Times New Roman" w:eastAsia="Times New Roman" w:hAnsi="Times New Roman" w:cs="Times New Roman"/>
                <w:b/>
                <w:bCs/>
                <w:color w:val="000000"/>
                <w:sz w:val="14"/>
                <w:szCs w:val="14"/>
                <w:lang w:eastAsia="ru-RU"/>
              </w:rPr>
              <w:t>Количество</w:t>
            </w:r>
          </w:p>
          <w:p w:rsidR="00646BD7" w:rsidRPr="008067C8" w:rsidRDefault="00646BD7" w:rsidP="00646BD7">
            <w:pPr>
              <w:spacing w:after="0" w:line="240" w:lineRule="auto"/>
              <w:jc w:val="center"/>
              <w:rPr>
                <w:rFonts w:ascii="Times New Roman" w:eastAsia="Times New Roman" w:hAnsi="Times New Roman" w:cs="Times New Roman"/>
                <w:b/>
                <w:bCs/>
                <w:color w:val="000000"/>
                <w:sz w:val="14"/>
                <w:szCs w:val="14"/>
                <w:lang w:eastAsia="ru-RU"/>
              </w:rPr>
            </w:pPr>
            <w:r w:rsidRPr="008067C8">
              <w:rPr>
                <w:rFonts w:ascii="Times New Roman" w:eastAsia="Times New Roman" w:hAnsi="Times New Roman" w:cs="Times New Roman"/>
                <w:b/>
                <w:bCs/>
                <w:color w:val="000000"/>
                <w:sz w:val="14"/>
                <w:szCs w:val="14"/>
                <w:lang w:eastAsia="ru-RU"/>
              </w:rPr>
              <w:t>(объем работы, услуги)</w:t>
            </w:r>
          </w:p>
        </w:tc>
        <w:tc>
          <w:tcPr>
            <w:tcW w:w="924" w:type="dxa"/>
            <w:tcBorders>
              <w:top w:val="single" w:sz="4" w:space="0" w:color="auto"/>
              <w:left w:val="single" w:sz="4" w:space="0" w:color="auto"/>
              <w:bottom w:val="single" w:sz="4" w:space="0" w:color="auto"/>
              <w:right w:val="single" w:sz="4" w:space="0" w:color="auto"/>
            </w:tcBorders>
            <w:vAlign w:val="center"/>
            <w:hideMark/>
          </w:tcPr>
          <w:p w:rsidR="00646BD7" w:rsidRPr="008067C8" w:rsidRDefault="00646BD7" w:rsidP="00646BD7">
            <w:pPr>
              <w:spacing w:after="0" w:line="240" w:lineRule="auto"/>
              <w:jc w:val="center"/>
              <w:rPr>
                <w:rFonts w:ascii="Times New Roman" w:eastAsia="Times New Roman" w:hAnsi="Times New Roman" w:cs="Times New Roman"/>
                <w:b/>
                <w:bCs/>
                <w:color w:val="000000"/>
                <w:sz w:val="14"/>
                <w:szCs w:val="14"/>
                <w:lang w:eastAsia="ru-RU"/>
              </w:rPr>
            </w:pPr>
            <w:r w:rsidRPr="008067C8">
              <w:rPr>
                <w:rFonts w:ascii="Times New Roman" w:eastAsia="Times New Roman" w:hAnsi="Times New Roman" w:cs="Times New Roman"/>
                <w:b/>
                <w:bCs/>
                <w:color w:val="000000"/>
                <w:sz w:val="14"/>
                <w:szCs w:val="14"/>
                <w:lang w:eastAsia="ru-RU"/>
              </w:rPr>
              <w:t>Единица измерения</w:t>
            </w:r>
          </w:p>
        </w:tc>
        <w:tc>
          <w:tcPr>
            <w:tcW w:w="1199" w:type="dxa"/>
            <w:tcBorders>
              <w:top w:val="single" w:sz="4" w:space="0" w:color="auto"/>
              <w:left w:val="single" w:sz="4" w:space="0" w:color="auto"/>
              <w:bottom w:val="single" w:sz="4" w:space="0" w:color="auto"/>
              <w:right w:val="single" w:sz="4" w:space="0" w:color="auto"/>
            </w:tcBorders>
          </w:tcPr>
          <w:p w:rsidR="00646BD7" w:rsidRPr="008067C8" w:rsidRDefault="00646BD7" w:rsidP="00646BD7">
            <w:pPr>
              <w:spacing w:after="0" w:line="240" w:lineRule="auto"/>
              <w:jc w:val="center"/>
              <w:rPr>
                <w:rFonts w:ascii="Times New Roman" w:eastAsia="Times New Roman" w:hAnsi="Times New Roman" w:cs="Times New Roman"/>
                <w:b/>
                <w:bCs/>
                <w:color w:val="000000"/>
                <w:sz w:val="14"/>
                <w:szCs w:val="14"/>
                <w:lang w:eastAsia="ru-RU"/>
              </w:rPr>
            </w:pPr>
          </w:p>
          <w:p w:rsidR="00646BD7" w:rsidRPr="008067C8" w:rsidRDefault="00646BD7" w:rsidP="00646BD7">
            <w:pPr>
              <w:spacing w:after="0" w:line="240" w:lineRule="auto"/>
              <w:jc w:val="center"/>
              <w:rPr>
                <w:rFonts w:ascii="Times New Roman" w:eastAsia="Times New Roman" w:hAnsi="Times New Roman" w:cs="Times New Roman"/>
                <w:b/>
                <w:bCs/>
                <w:color w:val="000000"/>
                <w:sz w:val="14"/>
                <w:szCs w:val="14"/>
                <w:lang w:eastAsia="ru-RU"/>
              </w:rPr>
            </w:pPr>
          </w:p>
          <w:p w:rsidR="00646BD7" w:rsidRDefault="00646BD7" w:rsidP="00646BD7">
            <w:pPr>
              <w:spacing w:after="0" w:line="240" w:lineRule="auto"/>
              <w:jc w:val="center"/>
              <w:rPr>
                <w:rFonts w:ascii="Times New Roman" w:eastAsia="Times New Roman" w:hAnsi="Times New Roman" w:cs="Times New Roman"/>
                <w:b/>
                <w:bCs/>
                <w:color w:val="000000"/>
                <w:sz w:val="14"/>
                <w:szCs w:val="14"/>
                <w:lang w:eastAsia="ru-RU"/>
              </w:rPr>
            </w:pPr>
          </w:p>
          <w:p w:rsidR="00646BD7" w:rsidRPr="008067C8" w:rsidRDefault="00646BD7" w:rsidP="00646BD7">
            <w:pPr>
              <w:spacing w:after="0" w:line="240" w:lineRule="auto"/>
              <w:jc w:val="center"/>
              <w:rPr>
                <w:rFonts w:ascii="Times New Roman" w:eastAsia="Times New Roman" w:hAnsi="Times New Roman" w:cs="Times New Roman"/>
                <w:b/>
                <w:bCs/>
                <w:color w:val="000000"/>
                <w:sz w:val="14"/>
                <w:szCs w:val="14"/>
                <w:lang w:eastAsia="ru-RU"/>
              </w:rPr>
            </w:pPr>
            <w:r w:rsidRPr="008067C8">
              <w:rPr>
                <w:rFonts w:ascii="Times New Roman" w:eastAsia="Times New Roman" w:hAnsi="Times New Roman" w:cs="Times New Roman"/>
                <w:b/>
                <w:bCs/>
                <w:color w:val="000000"/>
                <w:sz w:val="14"/>
                <w:szCs w:val="14"/>
                <w:lang w:eastAsia="ru-RU"/>
              </w:rPr>
              <w:t>Страна происхождения</w:t>
            </w:r>
          </w:p>
        </w:tc>
        <w:tc>
          <w:tcPr>
            <w:tcW w:w="664" w:type="dxa"/>
            <w:tcBorders>
              <w:top w:val="single" w:sz="4" w:space="0" w:color="auto"/>
              <w:left w:val="single" w:sz="4" w:space="0" w:color="auto"/>
              <w:bottom w:val="single" w:sz="4" w:space="0" w:color="auto"/>
              <w:right w:val="single" w:sz="4" w:space="0" w:color="auto"/>
            </w:tcBorders>
          </w:tcPr>
          <w:p w:rsidR="00646BD7" w:rsidRPr="008067C8" w:rsidRDefault="00646BD7" w:rsidP="00646BD7">
            <w:pPr>
              <w:spacing w:after="0" w:line="240" w:lineRule="auto"/>
              <w:jc w:val="center"/>
              <w:rPr>
                <w:rFonts w:ascii="Times New Roman" w:eastAsia="Times New Roman" w:hAnsi="Times New Roman" w:cs="Times New Roman"/>
                <w:b/>
                <w:bCs/>
                <w:color w:val="000000"/>
                <w:sz w:val="14"/>
                <w:szCs w:val="14"/>
                <w:lang w:eastAsia="ru-RU"/>
              </w:rPr>
            </w:pPr>
          </w:p>
          <w:p w:rsidR="00646BD7" w:rsidRPr="008067C8" w:rsidRDefault="00646BD7" w:rsidP="00646BD7">
            <w:pPr>
              <w:spacing w:after="0" w:line="240" w:lineRule="auto"/>
              <w:jc w:val="center"/>
              <w:rPr>
                <w:rFonts w:ascii="Times New Roman" w:eastAsia="Times New Roman" w:hAnsi="Times New Roman" w:cs="Times New Roman"/>
                <w:b/>
                <w:bCs/>
                <w:color w:val="000000"/>
                <w:sz w:val="14"/>
                <w:szCs w:val="14"/>
                <w:lang w:eastAsia="ru-RU"/>
              </w:rPr>
            </w:pPr>
          </w:p>
          <w:p w:rsidR="00646BD7" w:rsidRPr="008067C8" w:rsidRDefault="00646BD7" w:rsidP="00646BD7">
            <w:pPr>
              <w:spacing w:after="0" w:line="240" w:lineRule="auto"/>
              <w:jc w:val="center"/>
              <w:rPr>
                <w:rFonts w:ascii="Times New Roman" w:eastAsia="Times New Roman" w:hAnsi="Times New Roman" w:cs="Times New Roman"/>
                <w:b/>
                <w:bCs/>
                <w:color w:val="000000"/>
                <w:sz w:val="14"/>
                <w:szCs w:val="14"/>
                <w:lang w:eastAsia="ru-RU"/>
              </w:rPr>
            </w:pPr>
          </w:p>
          <w:p w:rsidR="00646BD7" w:rsidRPr="008067C8" w:rsidRDefault="00646BD7" w:rsidP="00646BD7">
            <w:pPr>
              <w:spacing w:after="0" w:line="240" w:lineRule="auto"/>
              <w:jc w:val="center"/>
              <w:rPr>
                <w:rFonts w:ascii="Times New Roman" w:eastAsia="Times New Roman" w:hAnsi="Times New Roman" w:cs="Times New Roman"/>
                <w:b/>
                <w:bCs/>
                <w:color w:val="000000"/>
                <w:sz w:val="14"/>
                <w:szCs w:val="14"/>
                <w:lang w:eastAsia="ru-RU"/>
              </w:rPr>
            </w:pPr>
            <w:r w:rsidRPr="008067C8">
              <w:rPr>
                <w:rFonts w:ascii="Times New Roman" w:eastAsia="Times New Roman" w:hAnsi="Times New Roman" w:cs="Times New Roman"/>
                <w:b/>
                <w:bCs/>
                <w:color w:val="000000"/>
                <w:sz w:val="14"/>
                <w:szCs w:val="14"/>
                <w:lang w:eastAsia="ru-RU"/>
              </w:rPr>
              <w:t>НДС%</w:t>
            </w:r>
          </w:p>
        </w:tc>
        <w:tc>
          <w:tcPr>
            <w:tcW w:w="742" w:type="dxa"/>
            <w:tcBorders>
              <w:top w:val="single" w:sz="4" w:space="0" w:color="auto"/>
              <w:left w:val="single" w:sz="4" w:space="0" w:color="auto"/>
              <w:bottom w:val="single" w:sz="4" w:space="0" w:color="auto"/>
              <w:right w:val="single" w:sz="4" w:space="0" w:color="auto"/>
            </w:tcBorders>
          </w:tcPr>
          <w:p w:rsidR="00646BD7" w:rsidRPr="008067C8" w:rsidRDefault="00646BD7" w:rsidP="00646BD7">
            <w:pPr>
              <w:spacing w:after="0" w:line="240" w:lineRule="auto"/>
              <w:jc w:val="center"/>
              <w:rPr>
                <w:rFonts w:ascii="Times New Roman" w:eastAsia="Times New Roman" w:hAnsi="Times New Roman" w:cs="Times New Roman"/>
                <w:b/>
                <w:bCs/>
                <w:color w:val="000000"/>
                <w:sz w:val="14"/>
                <w:szCs w:val="14"/>
                <w:lang w:eastAsia="ru-RU"/>
              </w:rPr>
            </w:pPr>
          </w:p>
          <w:p w:rsidR="00646BD7" w:rsidRPr="008067C8" w:rsidRDefault="00646BD7" w:rsidP="00646BD7">
            <w:pPr>
              <w:spacing w:after="0" w:line="240" w:lineRule="auto"/>
              <w:jc w:val="center"/>
              <w:rPr>
                <w:rFonts w:ascii="Times New Roman" w:eastAsia="Times New Roman" w:hAnsi="Times New Roman" w:cs="Times New Roman"/>
                <w:b/>
                <w:bCs/>
                <w:color w:val="000000"/>
                <w:sz w:val="14"/>
                <w:szCs w:val="14"/>
                <w:lang w:eastAsia="ru-RU"/>
              </w:rPr>
            </w:pPr>
          </w:p>
          <w:p w:rsidR="00646BD7" w:rsidRPr="008067C8" w:rsidRDefault="00646BD7" w:rsidP="00646BD7">
            <w:pPr>
              <w:spacing w:after="0" w:line="240" w:lineRule="auto"/>
              <w:jc w:val="center"/>
              <w:rPr>
                <w:rFonts w:ascii="Times New Roman" w:eastAsia="Times New Roman" w:hAnsi="Times New Roman" w:cs="Times New Roman"/>
                <w:b/>
                <w:bCs/>
                <w:color w:val="000000"/>
                <w:sz w:val="14"/>
                <w:szCs w:val="14"/>
                <w:lang w:eastAsia="ru-RU"/>
              </w:rPr>
            </w:pPr>
          </w:p>
          <w:p w:rsidR="00646BD7" w:rsidRPr="008067C8" w:rsidRDefault="00646BD7" w:rsidP="00646BD7">
            <w:pPr>
              <w:spacing w:after="0" w:line="240" w:lineRule="auto"/>
              <w:jc w:val="center"/>
              <w:rPr>
                <w:rFonts w:ascii="Times New Roman" w:eastAsia="Times New Roman" w:hAnsi="Times New Roman" w:cs="Times New Roman"/>
                <w:b/>
                <w:bCs/>
                <w:color w:val="000000"/>
                <w:sz w:val="14"/>
                <w:szCs w:val="14"/>
                <w:lang w:eastAsia="ru-RU"/>
              </w:rPr>
            </w:pPr>
            <w:r w:rsidRPr="008067C8">
              <w:rPr>
                <w:rFonts w:ascii="Times New Roman" w:eastAsia="Times New Roman" w:hAnsi="Times New Roman" w:cs="Times New Roman"/>
                <w:b/>
                <w:bCs/>
                <w:color w:val="000000"/>
                <w:sz w:val="14"/>
                <w:szCs w:val="14"/>
                <w:lang w:eastAsia="ru-RU"/>
              </w:rPr>
              <w:t>Цена за единицу без</w:t>
            </w:r>
          </w:p>
          <w:p w:rsidR="00646BD7" w:rsidRPr="008067C8" w:rsidRDefault="00646BD7" w:rsidP="00646BD7">
            <w:pPr>
              <w:spacing w:after="0" w:line="240" w:lineRule="auto"/>
              <w:jc w:val="center"/>
              <w:rPr>
                <w:rFonts w:ascii="Times New Roman" w:eastAsia="Times New Roman" w:hAnsi="Times New Roman" w:cs="Times New Roman"/>
                <w:b/>
                <w:bCs/>
                <w:color w:val="000000"/>
                <w:sz w:val="14"/>
                <w:szCs w:val="14"/>
                <w:lang w:eastAsia="ru-RU"/>
              </w:rPr>
            </w:pPr>
            <w:r w:rsidRPr="008067C8">
              <w:rPr>
                <w:rFonts w:ascii="Times New Roman" w:eastAsia="Times New Roman" w:hAnsi="Times New Roman" w:cs="Times New Roman"/>
                <w:b/>
                <w:bCs/>
                <w:color w:val="000000"/>
                <w:sz w:val="14"/>
                <w:szCs w:val="14"/>
                <w:lang w:eastAsia="ru-RU"/>
              </w:rPr>
              <w:t>НДС</w:t>
            </w:r>
          </w:p>
        </w:tc>
        <w:tc>
          <w:tcPr>
            <w:tcW w:w="651" w:type="dxa"/>
            <w:tcBorders>
              <w:top w:val="single" w:sz="4" w:space="0" w:color="auto"/>
              <w:left w:val="single" w:sz="4" w:space="0" w:color="auto"/>
              <w:bottom w:val="single" w:sz="4" w:space="0" w:color="auto"/>
              <w:right w:val="single" w:sz="4" w:space="0" w:color="auto"/>
            </w:tcBorders>
          </w:tcPr>
          <w:p w:rsidR="00646BD7" w:rsidRPr="008067C8" w:rsidRDefault="00646BD7" w:rsidP="00646BD7">
            <w:pPr>
              <w:spacing w:after="0" w:line="240" w:lineRule="auto"/>
              <w:jc w:val="center"/>
              <w:rPr>
                <w:rFonts w:ascii="Times New Roman" w:eastAsia="Times New Roman" w:hAnsi="Times New Roman" w:cs="Times New Roman"/>
                <w:b/>
                <w:bCs/>
                <w:color w:val="000000"/>
                <w:sz w:val="14"/>
                <w:szCs w:val="14"/>
                <w:lang w:eastAsia="ru-RU"/>
              </w:rPr>
            </w:pPr>
          </w:p>
          <w:p w:rsidR="00646BD7" w:rsidRDefault="00646BD7" w:rsidP="00646BD7">
            <w:pPr>
              <w:jc w:val="center"/>
              <w:rPr>
                <w:rFonts w:ascii="Times New Roman" w:eastAsia="Times New Roman" w:hAnsi="Times New Roman" w:cs="Times New Roman"/>
                <w:b/>
                <w:sz w:val="14"/>
                <w:szCs w:val="14"/>
                <w:lang w:eastAsia="ru-RU"/>
              </w:rPr>
            </w:pPr>
          </w:p>
          <w:p w:rsidR="00646BD7" w:rsidRPr="008067C8" w:rsidRDefault="00646BD7" w:rsidP="00646BD7">
            <w:pPr>
              <w:jc w:val="center"/>
              <w:rPr>
                <w:rFonts w:ascii="Times New Roman" w:eastAsia="Times New Roman" w:hAnsi="Times New Roman" w:cs="Times New Roman"/>
                <w:b/>
                <w:sz w:val="14"/>
                <w:szCs w:val="14"/>
                <w:lang w:eastAsia="ru-RU"/>
              </w:rPr>
            </w:pPr>
            <w:r w:rsidRPr="008067C8">
              <w:rPr>
                <w:rFonts w:ascii="Times New Roman" w:eastAsia="Times New Roman" w:hAnsi="Times New Roman" w:cs="Times New Roman"/>
                <w:b/>
                <w:sz w:val="14"/>
                <w:szCs w:val="14"/>
                <w:lang w:eastAsia="ru-RU"/>
              </w:rPr>
              <w:t>Сумма без НДС</w:t>
            </w:r>
          </w:p>
        </w:tc>
      </w:tr>
      <w:tr w:rsidR="00646BD7" w:rsidRPr="00646BD7" w:rsidTr="00646BD7">
        <w:trPr>
          <w:trHeight w:val="1122"/>
        </w:trPr>
        <w:tc>
          <w:tcPr>
            <w:tcW w:w="417" w:type="dxa"/>
            <w:vMerge w:val="restart"/>
            <w:tcBorders>
              <w:top w:val="nil"/>
              <w:left w:val="single" w:sz="4" w:space="0" w:color="000000"/>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1</w:t>
            </w:r>
          </w:p>
        </w:tc>
        <w:tc>
          <w:tcPr>
            <w:tcW w:w="1504" w:type="dxa"/>
            <w:vMerge w:val="restart"/>
            <w:tcBorders>
              <w:top w:val="nil"/>
              <w:left w:val="single" w:sz="4" w:space="0" w:color="000000"/>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Набор реагентов для выявления ДНК Candida albicans и общей ДНК грибов методом полимеразной цепной реакции в режиме реального времени</w:t>
            </w:r>
          </w:p>
        </w:tc>
        <w:tc>
          <w:tcPr>
            <w:tcW w:w="1005" w:type="dxa"/>
            <w:vMerge w:val="restart"/>
            <w:tcBorders>
              <w:top w:val="nil"/>
              <w:left w:val="single" w:sz="4" w:space="0" w:color="000000"/>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Pr>
                <w:rFonts w:ascii="Times New Roman" w:hAnsi="Times New Roman"/>
                <w:sz w:val="14"/>
                <w:szCs w:val="14"/>
              </w:rPr>
              <w:t>21.20.23.110</w:t>
            </w:r>
          </w:p>
        </w:tc>
        <w:tc>
          <w:tcPr>
            <w:tcW w:w="1552"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rPr>
                <w:rFonts w:ascii="Times New Roman" w:hAnsi="Times New Roman"/>
                <w:sz w:val="14"/>
                <w:szCs w:val="14"/>
              </w:rPr>
            </w:pPr>
            <w:r w:rsidRPr="00646BD7">
              <w:rPr>
                <w:rFonts w:ascii="Times New Roman" w:hAnsi="Times New Roman"/>
                <w:sz w:val="14"/>
                <w:szCs w:val="14"/>
              </w:rPr>
              <w:t>Область применения</w:t>
            </w:r>
          </w:p>
        </w:tc>
        <w:tc>
          <w:tcPr>
            <w:tcW w:w="157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для дифференциального  выявления ДНК Candida albicans  и cуммарной ДНК грибов (Fungi) методом полимеразной цепной реакции в режиме реального времени</w:t>
            </w:r>
          </w:p>
        </w:tc>
        <w:tc>
          <w:tcPr>
            <w:tcW w:w="124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p>
        </w:tc>
        <w:tc>
          <w:tcPr>
            <w:tcW w:w="1608"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Значение характеристики не может изменяться участником закупки</w:t>
            </w:r>
          </w:p>
        </w:tc>
        <w:tc>
          <w:tcPr>
            <w:tcW w:w="1766"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Обусловлено технологическим процессом в лаборатории</w:t>
            </w:r>
          </w:p>
        </w:tc>
        <w:tc>
          <w:tcPr>
            <w:tcW w:w="979" w:type="dxa"/>
            <w:vMerge w:val="restart"/>
            <w:tcBorders>
              <w:top w:val="nil"/>
              <w:left w:val="single" w:sz="4" w:space="0" w:color="000000"/>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4</w:t>
            </w:r>
          </w:p>
        </w:tc>
        <w:tc>
          <w:tcPr>
            <w:tcW w:w="924" w:type="dxa"/>
            <w:vMerge w:val="restart"/>
            <w:tcBorders>
              <w:top w:val="nil"/>
              <w:left w:val="single" w:sz="4" w:space="0" w:color="000000"/>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набор</w:t>
            </w:r>
          </w:p>
        </w:tc>
        <w:tc>
          <w:tcPr>
            <w:tcW w:w="1199" w:type="dxa"/>
            <w:vMerge w:val="restart"/>
            <w:tcBorders>
              <w:top w:val="nil"/>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64" w:type="dxa"/>
            <w:vMerge w:val="restart"/>
            <w:tcBorders>
              <w:top w:val="nil"/>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742" w:type="dxa"/>
            <w:vMerge w:val="restart"/>
            <w:tcBorders>
              <w:top w:val="nil"/>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51" w:type="dxa"/>
            <w:vMerge w:val="restart"/>
            <w:tcBorders>
              <w:top w:val="nil"/>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r>
      <w:tr w:rsidR="00646BD7" w:rsidRPr="00646BD7" w:rsidTr="00646BD7">
        <w:trPr>
          <w:trHeight w:val="660"/>
        </w:trPr>
        <w:tc>
          <w:tcPr>
            <w:tcW w:w="417"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0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005"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52"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rPr>
                <w:rFonts w:ascii="Times New Roman" w:hAnsi="Times New Roman"/>
                <w:sz w:val="14"/>
                <w:szCs w:val="14"/>
              </w:rPr>
            </w:pPr>
            <w:r w:rsidRPr="00646BD7">
              <w:rPr>
                <w:rFonts w:ascii="Times New Roman" w:hAnsi="Times New Roman"/>
                <w:sz w:val="14"/>
                <w:szCs w:val="14"/>
              </w:rPr>
              <w:t>Количество выполняемых тестов</w:t>
            </w:r>
          </w:p>
        </w:tc>
        <w:tc>
          <w:tcPr>
            <w:tcW w:w="157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не менее 96</w:t>
            </w:r>
          </w:p>
        </w:tc>
        <w:tc>
          <w:tcPr>
            <w:tcW w:w="124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шт</w:t>
            </w:r>
          </w:p>
        </w:tc>
        <w:tc>
          <w:tcPr>
            <w:tcW w:w="1608"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Участник закупки указывает в заявке конкретное значение характеристики</w:t>
            </w:r>
          </w:p>
        </w:tc>
        <w:tc>
          <w:tcPr>
            <w:tcW w:w="1766"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Обусловлен количеством стандартных планшетов</w:t>
            </w:r>
          </w:p>
        </w:tc>
        <w:tc>
          <w:tcPr>
            <w:tcW w:w="979"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92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199"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64"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742"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51"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r>
      <w:tr w:rsidR="00646BD7" w:rsidRPr="00646BD7" w:rsidTr="00646BD7">
        <w:trPr>
          <w:trHeight w:val="1339"/>
        </w:trPr>
        <w:tc>
          <w:tcPr>
            <w:tcW w:w="417"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0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005"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52"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rPr>
                <w:rFonts w:ascii="Times New Roman" w:hAnsi="Times New Roman"/>
                <w:sz w:val="14"/>
                <w:szCs w:val="14"/>
              </w:rPr>
            </w:pPr>
            <w:r w:rsidRPr="00646BD7">
              <w:rPr>
                <w:rFonts w:ascii="Times New Roman" w:hAnsi="Times New Roman"/>
                <w:sz w:val="14"/>
                <w:szCs w:val="14"/>
              </w:rPr>
              <w:t>Тип готовой реакционной смеси для ПЦР (ГРС)</w:t>
            </w:r>
          </w:p>
        </w:tc>
        <w:tc>
          <w:tcPr>
            <w:tcW w:w="157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лиофилизат</w:t>
            </w:r>
          </w:p>
        </w:tc>
        <w:tc>
          <w:tcPr>
            <w:tcW w:w="124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p>
        </w:tc>
        <w:tc>
          <w:tcPr>
            <w:tcW w:w="1608"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Значение характеристики не может изменяться участником закупки</w:t>
            </w:r>
          </w:p>
        </w:tc>
        <w:tc>
          <w:tcPr>
            <w:tcW w:w="1766"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Для обеспечения возможности долговременного хранения реагентов без потери их качества и более стабильных диагностических параметров тест системы, для уменьшения количества технологических операций, снижения риска контаминации.</w:t>
            </w:r>
          </w:p>
        </w:tc>
        <w:tc>
          <w:tcPr>
            <w:tcW w:w="979"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92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199"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64"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742"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51"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r>
      <w:tr w:rsidR="00646BD7" w:rsidRPr="00646BD7" w:rsidTr="00646BD7">
        <w:trPr>
          <w:trHeight w:val="882"/>
        </w:trPr>
        <w:tc>
          <w:tcPr>
            <w:tcW w:w="417"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0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005"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52"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rPr>
                <w:rFonts w:ascii="Times New Roman" w:hAnsi="Times New Roman"/>
                <w:sz w:val="14"/>
                <w:szCs w:val="14"/>
              </w:rPr>
            </w:pPr>
            <w:r w:rsidRPr="00646BD7">
              <w:rPr>
                <w:rFonts w:ascii="Times New Roman" w:hAnsi="Times New Roman"/>
                <w:sz w:val="14"/>
                <w:szCs w:val="14"/>
              </w:rPr>
              <w:t>Объем выделенного нуклеотидного материала для добавления в готовую сухую ПЦР-смесь</w:t>
            </w:r>
          </w:p>
        </w:tc>
        <w:tc>
          <w:tcPr>
            <w:tcW w:w="157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не менее 0,05</w:t>
            </w:r>
          </w:p>
        </w:tc>
        <w:tc>
          <w:tcPr>
            <w:tcW w:w="124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см3</w:t>
            </w:r>
          </w:p>
        </w:tc>
        <w:tc>
          <w:tcPr>
            <w:tcW w:w="1608"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Участник закупки указывает в заявке конкретное значение характеристики</w:t>
            </w:r>
          </w:p>
        </w:tc>
        <w:tc>
          <w:tcPr>
            <w:tcW w:w="1766"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Для существенного снижения технических ошибок (погрешности при дозировании малых объемов) и достижения необходимой диагностической чувствительности анализа</w:t>
            </w:r>
          </w:p>
        </w:tc>
        <w:tc>
          <w:tcPr>
            <w:tcW w:w="979"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92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199"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64"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742"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51"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r>
      <w:tr w:rsidR="00646BD7" w:rsidRPr="00646BD7" w:rsidTr="00646BD7">
        <w:trPr>
          <w:trHeight w:val="882"/>
        </w:trPr>
        <w:tc>
          <w:tcPr>
            <w:tcW w:w="417"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0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005"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52"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rPr>
                <w:rFonts w:ascii="Times New Roman" w:hAnsi="Times New Roman"/>
                <w:sz w:val="14"/>
                <w:szCs w:val="14"/>
              </w:rPr>
            </w:pPr>
            <w:r w:rsidRPr="00646BD7">
              <w:rPr>
                <w:rFonts w:ascii="Times New Roman" w:hAnsi="Times New Roman"/>
                <w:sz w:val="14"/>
                <w:szCs w:val="14"/>
              </w:rPr>
              <w:t>Единый протокол амплификации для всех наборов для ПЦР диагностики</w:t>
            </w:r>
          </w:p>
        </w:tc>
        <w:tc>
          <w:tcPr>
            <w:tcW w:w="157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соответствие</w:t>
            </w:r>
          </w:p>
        </w:tc>
        <w:tc>
          <w:tcPr>
            <w:tcW w:w="124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p>
        </w:tc>
        <w:tc>
          <w:tcPr>
            <w:tcW w:w="1608"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Значение характеристики не может изменяться участником закупки</w:t>
            </w:r>
          </w:p>
        </w:tc>
        <w:tc>
          <w:tcPr>
            <w:tcW w:w="1766"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Позволяет максимально загружать амплификатор в каждой постановке, что приводит к меньшему износу прибора и увеличению его срока службы</w:t>
            </w:r>
          </w:p>
        </w:tc>
        <w:tc>
          <w:tcPr>
            <w:tcW w:w="979"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92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199"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64"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742"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51"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r>
      <w:tr w:rsidR="00646BD7" w:rsidRPr="00646BD7" w:rsidTr="00646BD7">
        <w:trPr>
          <w:trHeight w:val="660"/>
        </w:trPr>
        <w:tc>
          <w:tcPr>
            <w:tcW w:w="417"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0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005"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52"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rPr>
                <w:rFonts w:ascii="Times New Roman" w:hAnsi="Times New Roman"/>
                <w:sz w:val="14"/>
                <w:szCs w:val="14"/>
              </w:rPr>
            </w:pPr>
            <w:r w:rsidRPr="00646BD7">
              <w:rPr>
                <w:rFonts w:ascii="Times New Roman" w:hAnsi="Times New Roman"/>
                <w:sz w:val="14"/>
                <w:szCs w:val="14"/>
              </w:rPr>
              <w:t>Условия хранения</w:t>
            </w:r>
          </w:p>
        </w:tc>
        <w:tc>
          <w:tcPr>
            <w:tcW w:w="157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температура +2 - +8°С, без заморозки</w:t>
            </w:r>
          </w:p>
        </w:tc>
        <w:tc>
          <w:tcPr>
            <w:tcW w:w="124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p>
        </w:tc>
        <w:tc>
          <w:tcPr>
            <w:tcW w:w="1608"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Значение характеристики не может изменяться участником закупки</w:t>
            </w:r>
          </w:p>
        </w:tc>
        <w:tc>
          <w:tcPr>
            <w:tcW w:w="1766"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Для обеспечения возможности длительного хранения и использования, а так же для сохранения заводских свойств</w:t>
            </w:r>
          </w:p>
        </w:tc>
        <w:tc>
          <w:tcPr>
            <w:tcW w:w="979"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92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199"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64"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742"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51"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r>
      <w:tr w:rsidR="00646BD7" w:rsidRPr="00646BD7" w:rsidTr="00646BD7">
        <w:trPr>
          <w:trHeight w:val="1122"/>
        </w:trPr>
        <w:tc>
          <w:tcPr>
            <w:tcW w:w="417"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0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005"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52"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rPr>
                <w:rFonts w:ascii="Times New Roman" w:hAnsi="Times New Roman"/>
                <w:sz w:val="14"/>
                <w:szCs w:val="14"/>
              </w:rPr>
            </w:pPr>
            <w:r w:rsidRPr="00646BD7">
              <w:rPr>
                <w:rFonts w:ascii="Times New Roman" w:hAnsi="Times New Roman"/>
                <w:sz w:val="14"/>
                <w:szCs w:val="14"/>
              </w:rPr>
              <w:t>Разрешенная длительность транспортирования при температуре до 25°C в соответствии с инструкцией по применению</w:t>
            </w:r>
          </w:p>
        </w:tc>
        <w:tc>
          <w:tcPr>
            <w:tcW w:w="157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не менее 10</w:t>
            </w:r>
          </w:p>
        </w:tc>
        <w:tc>
          <w:tcPr>
            <w:tcW w:w="124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сут; дн</w:t>
            </w:r>
          </w:p>
        </w:tc>
        <w:tc>
          <w:tcPr>
            <w:tcW w:w="1608"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Участник закупки указывает в заявке конкретное значение характеристики</w:t>
            </w:r>
          </w:p>
        </w:tc>
        <w:tc>
          <w:tcPr>
            <w:tcW w:w="1766"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Для обеспечения длительной транспортировки без возможности соблюдения температурного режима холодильника</w:t>
            </w:r>
          </w:p>
        </w:tc>
        <w:tc>
          <w:tcPr>
            <w:tcW w:w="979"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92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199" w:type="dxa"/>
            <w:vMerge/>
            <w:tcBorders>
              <w:left w:val="single" w:sz="4" w:space="0" w:color="000000"/>
              <w:bottom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64" w:type="dxa"/>
            <w:vMerge/>
            <w:tcBorders>
              <w:left w:val="single" w:sz="4" w:space="0" w:color="000000"/>
              <w:bottom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742" w:type="dxa"/>
            <w:vMerge/>
            <w:tcBorders>
              <w:left w:val="single" w:sz="4" w:space="0" w:color="000000"/>
              <w:bottom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51" w:type="dxa"/>
            <w:vMerge/>
            <w:tcBorders>
              <w:left w:val="single" w:sz="4" w:space="0" w:color="000000"/>
              <w:bottom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r>
      <w:tr w:rsidR="00646BD7" w:rsidRPr="00646BD7" w:rsidTr="00646BD7">
        <w:trPr>
          <w:trHeight w:val="47"/>
        </w:trPr>
        <w:tc>
          <w:tcPr>
            <w:tcW w:w="417" w:type="dxa"/>
            <w:vMerge w:val="restart"/>
            <w:tcBorders>
              <w:top w:val="nil"/>
              <w:left w:val="single" w:sz="4" w:space="0" w:color="000000"/>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2</w:t>
            </w:r>
          </w:p>
        </w:tc>
        <w:tc>
          <w:tcPr>
            <w:tcW w:w="1504" w:type="dxa"/>
            <w:vMerge w:val="restart"/>
            <w:tcBorders>
              <w:top w:val="nil"/>
              <w:left w:val="single" w:sz="4" w:space="0" w:color="000000"/>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Mycobacterium tuberculosis нуклеиновая кислота ИВД, набор, анализ нуклеиновых кислот</w:t>
            </w:r>
          </w:p>
        </w:tc>
        <w:tc>
          <w:tcPr>
            <w:tcW w:w="1005" w:type="dxa"/>
            <w:vMerge w:val="restart"/>
            <w:tcBorders>
              <w:top w:val="nil"/>
              <w:left w:val="single" w:sz="4" w:space="0" w:color="000000"/>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21.20.23.110-00006298</w:t>
            </w:r>
            <w:r>
              <w:rPr>
                <w:rFonts w:ascii="Times New Roman" w:hAnsi="Times New Roman"/>
                <w:sz w:val="14"/>
                <w:szCs w:val="14"/>
              </w:rPr>
              <w:t>*</w:t>
            </w:r>
          </w:p>
        </w:tc>
        <w:tc>
          <w:tcPr>
            <w:tcW w:w="1552" w:type="dxa"/>
            <w:tcBorders>
              <w:top w:val="nil"/>
              <w:left w:val="nil"/>
              <w:bottom w:val="single" w:sz="4" w:space="0" w:color="000000"/>
              <w:right w:val="single" w:sz="4" w:space="0" w:color="000000"/>
            </w:tcBorders>
            <w:shd w:val="clear" w:color="auto" w:fill="auto"/>
          </w:tcPr>
          <w:p w:rsidR="00646BD7" w:rsidRPr="00646BD7" w:rsidRDefault="00646BD7" w:rsidP="00646BD7">
            <w:pPr>
              <w:pStyle w:val="af7"/>
              <w:rPr>
                <w:rFonts w:ascii="Times New Roman" w:hAnsi="Times New Roman"/>
                <w:sz w:val="14"/>
                <w:szCs w:val="14"/>
              </w:rPr>
            </w:pPr>
            <w:r w:rsidRPr="00646BD7">
              <w:rPr>
                <w:rFonts w:ascii="Times New Roman" w:hAnsi="Times New Roman"/>
                <w:sz w:val="14"/>
                <w:szCs w:val="14"/>
              </w:rPr>
              <w:t>Количество выполняемых тестов</w:t>
            </w:r>
          </w:p>
        </w:tc>
        <w:tc>
          <w:tcPr>
            <w:tcW w:w="1577" w:type="dxa"/>
            <w:tcBorders>
              <w:top w:val="nil"/>
              <w:left w:val="nil"/>
              <w:bottom w:val="single" w:sz="4" w:space="0" w:color="000000"/>
              <w:right w:val="single" w:sz="4" w:space="0" w:color="000000"/>
            </w:tcBorders>
            <w:shd w:val="clear" w:color="auto" w:fill="auto"/>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 96</w:t>
            </w:r>
          </w:p>
        </w:tc>
        <w:tc>
          <w:tcPr>
            <w:tcW w:w="1247" w:type="dxa"/>
            <w:tcBorders>
              <w:top w:val="nil"/>
              <w:left w:val="nil"/>
              <w:bottom w:val="single" w:sz="4" w:space="0" w:color="000000"/>
              <w:right w:val="single" w:sz="4" w:space="0" w:color="000000"/>
            </w:tcBorders>
            <w:shd w:val="clear" w:color="auto" w:fill="auto"/>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шт</w:t>
            </w:r>
          </w:p>
        </w:tc>
        <w:tc>
          <w:tcPr>
            <w:tcW w:w="1608" w:type="dxa"/>
            <w:tcBorders>
              <w:top w:val="nil"/>
              <w:left w:val="nil"/>
              <w:bottom w:val="single" w:sz="4" w:space="0" w:color="000000"/>
              <w:right w:val="single" w:sz="4" w:space="0" w:color="000000"/>
            </w:tcBorders>
            <w:shd w:val="clear" w:color="auto" w:fill="auto"/>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Участник закупки указывает в заявке конкретное значение характеристики</w:t>
            </w:r>
          </w:p>
        </w:tc>
        <w:tc>
          <w:tcPr>
            <w:tcW w:w="1766" w:type="dxa"/>
            <w:tcBorders>
              <w:top w:val="nil"/>
              <w:left w:val="nil"/>
              <w:bottom w:val="single" w:sz="4" w:space="0" w:color="000000"/>
              <w:right w:val="single" w:sz="4" w:space="0" w:color="000000"/>
            </w:tcBorders>
            <w:shd w:val="clear" w:color="auto" w:fill="auto"/>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Согласно КТРУ</w:t>
            </w:r>
          </w:p>
        </w:tc>
        <w:tc>
          <w:tcPr>
            <w:tcW w:w="979" w:type="dxa"/>
            <w:vMerge w:val="restart"/>
            <w:tcBorders>
              <w:top w:val="nil"/>
              <w:left w:val="single" w:sz="4" w:space="0" w:color="000000"/>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3</w:t>
            </w:r>
          </w:p>
        </w:tc>
        <w:tc>
          <w:tcPr>
            <w:tcW w:w="924" w:type="dxa"/>
            <w:vMerge w:val="restart"/>
            <w:tcBorders>
              <w:top w:val="nil"/>
              <w:left w:val="single" w:sz="4" w:space="0" w:color="000000"/>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набор</w:t>
            </w:r>
          </w:p>
        </w:tc>
        <w:tc>
          <w:tcPr>
            <w:tcW w:w="1199" w:type="dxa"/>
            <w:vMerge w:val="restart"/>
            <w:tcBorders>
              <w:top w:val="nil"/>
              <w:left w:val="single" w:sz="4" w:space="0" w:color="000000"/>
              <w:bottom w:val="nil"/>
              <w:right w:val="single" w:sz="4" w:space="0" w:color="000000"/>
            </w:tcBorders>
          </w:tcPr>
          <w:p w:rsidR="00646BD7" w:rsidRPr="00646BD7" w:rsidRDefault="00646BD7" w:rsidP="00646BD7">
            <w:pPr>
              <w:pStyle w:val="af7"/>
              <w:rPr>
                <w:rFonts w:ascii="Times New Roman" w:hAnsi="Times New Roman"/>
                <w:sz w:val="14"/>
                <w:szCs w:val="14"/>
              </w:rPr>
            </w:pPr>
          </w:p>
        </w:tc>
        <w:tc>
          <w:tcPr>
            <w:tcW w:w="664" w:type="dxa"/>
            <w:vMerge w:val="restart"/>
            <w:tcBorders>
              <w:top w:val="nil"/>
              <w:left w:val="single" w:sz="4" w:space="0" w:color="000000"/>
              <w:bottom w:val="nil"/>
              <w:right w:val="single" w:sz="4" w:space="0" w:color="000000"/>
            </w:tcBorders>
          </w:tcPr>
          <w:p w:rsidR="00646BD7" w:rsidRPr="00646BD7" w:rsidRDefault="00646BD7" w:rsidP="00646BD7">
            <w:pPr>
              <w:pStyle w:val="af7"/>
              <w:rPr>
                <w:rFonts w:ascii="Times New Roman" w:hAnsi="Times New Roman"/>
                <w:sz w:val="14"/>
                <w:szCs w:val="14"/>
              </w:rPr>
            </w:pPr>
          </w:p>
        </w:tc>
        <w:tc>
          <w:tcPr>
            <w:tcW w:w="742" w:type="dxa"/>
            <w:vMerge w:val="restart"/>
            <w:tcBorders>
              <w:top w:val="nil"/>
              <w:left w:val="single" w:sz="4" w:space="0" w:color="000000"/>
              <w:bottom w:val="nil"/>
              <w:right w:val="single" w:sz="4" w:space="0" w:color="000000"/>
            </w:tcBorders>
          </w:tcPr>
          <w:p w:rsidR="00646BD7" w:rsidRPr="00646BD7" w:rsidRDefault="00646BD7" w:rsidP="00646BD7">
            <w:pPr>
              <w:pStyle w:val="af7"/>
              <w:rPr>
                <w:rFonts w:ascii="Times New Roman" w:hAnsi="Times New Roman"/>
                <w:sz w:val="14"/>
                <w:szCs w:val="14"/>
              </w:rPr>
            </w:pPr>
          </w:p>
        </w:tc>
        <w:tc>
          <w:tcPr>
            <w:tcW w:w="651" w:type="dxa"/>
            <w:vMerge w:val="restart"/>
            <w:tcBorders>
              <w:top w:val="nil"/>
              <w:left w:val="single" w:sz="4" w:space="0" w:color="000000"/>
              <w:bottom w:val="nil"/>
              <w:right w:val="single" w:sz="4" w:space="0" w:color="000000"/>
            </w:tcBorders>
          </w:tcPr>
          <w:p w:rsidR="00646BD7" w:rsidRPr="00646BD7" w:rsidRDefault="00646BD7" w:rsidP="00646BD7">
            <w:pPr>
              <w:pStyle w:val="af7"/>
              <w:rPr>
                <w:rFonts w:ascii="Times New Roman" w:hAnsi="Times New Roman"/>
                <w:sz w:val="14"/>
                <w:szCs w:val="14"/>
              </w:rPr>
            </w:pPr>
          </w:p>
        </w:tc>
      </w:tr>
      <w:tr w:rsidR="00646BD7" w:rsidRPr="00646BD7" w:rsidTr="00646BD7">
        <w:trPr>
          <w:trHeight w:val="882"/>
        </w:trPr>
        <w:tc>
          <w:tcPr>
            <w:tcW w:w="417"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0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005"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52"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rPr>
                <w:rFonts w:ascii="Times New Roman" w:hAnsi="Times New Roman"/>
                <w:sz w:val="14"/>
                <w:szCs w:val="14"/>
              </w:rPr>
            </w:pPr>
            <w:r w:rsidRPr="00646BD7">
              <w:rPr>
                <w:rFonts w:ascii="Times New Roman" w:hAnsi="Times New Roman"/>
                <w:sz w:val="14"/>
                <w:szCs w:val="14"/>
              </w:rPr>
              <w:t>Комплектация</w:t>
            </w:r>
          </w:p>
        </w:tc>
        <w:tc>
          <w:tcPr>
            <w:tcW w:w="157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Для ПЦР-амплификации с гибридизационно-флуоресцентной детекцией в режиме реального времени</w:t>
            </w:r>
          </w:p>
        </w:tc>
        <w:tc>
          <w:tcPr>
            <w:tcW w:w="124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p>
        </w:tc>
        <w:tc>
          <w:tcPr>
            <w:tcW w:w="1608"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Значение характеристики не может изменяться участником закупки</w:t>
            </w:r>
          </w:p>
        </w:tc>
        <w:tc>
          <w:tcPr>
            <w:tcW w:w="1766"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Согласно КТРУ</w:t>
            </w:r>
          </w:p>
        </w:tc>
        <w:tc>
          <w:tcPr>
            <w:tcW w:w="979"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92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199"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64"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742"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51"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r>
      <w:tr w:rsidR="00646BD7" w:rsidRPr="00646BD7" w:rsidTr="00646BD7">
        <w:trPr>
          <w:trHeight w:val="1339"/>
        </w:trPr>
        <w:tc>
          <w:tcPr>
            <w:tcW w:w="417"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0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005"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52"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rPr>
                <w:rFonts w:ascii="Times New Roman" w:hAnsi="Times New Roman"/>
                <w:sz w:val="14"/>
                <w:szCs w:val="14"/>
              </w:rPr>
            </w:pPr>
            <w:r w:rsidRPr="00646BD7">
              <w:rPr>
                <w:rFonts w:ascii="Times New Roman" w:hAnsi="Times New Roman"/>
                <w:sz w:val="14"/>
                <w:szCs w:val="14"/>
              </w:rPr>
              <w:t>Тип готовой реакционной смеси для ПЦР (ГРС)</w:t>
            </w:r>
          </w:p>
        </w:tc>
        <w:tc>
          <w:tcPr>
            <w:tcW w:w="157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лиофилизат</w:t>
            </w:r>
          </w:p>
        </w:tc>
        <w:tc>
          <w:tcPr>
            <w:tcW w:w="124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p>
        </w:tc>
        <w:tc>
          <w:tcPr>
            <w:tcW w:w="1608"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Значение характеристики не может изменяться участником закупки</w:t>
            </w:r>
          </w:p>
        </w:tc>
        <w:tc>
          <w:tcPr>
            <w:tcW w:w="1766"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Для обеспечения возможности долговременного хранения реагентов без потери их качества и более стабильных диагностических параметров тест системы, для уменьшения количества технологических операций, снижения риска контаминации.</w:t>
            </w:r>
          </w:p>
        </w:tc>
        <w:tc>
          <w:tcPr>
            <w:tcW w:w="979"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92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199"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64"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742"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51"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r>
      <w:tr w:rsidR="00646BD7" w:rsidRPr="00646BD7" w:rsidTr="00646BD7">
        <w:trPr>
          <w:trHeight w:val="882"/>
        </w:trPr>
        <w:tc>
          <w:tcPr>
            <w:tcW w:w="417"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0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005"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52"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rPr>
                <w:rFonts w:ascii="Times New Roman" w:hAnsi="Times New Roman"/>
                <w:sz w:val="14"/>
                <w:szCs w:val="14"/>
              </w:rPr>
            </w:pPr>
            <w:r w:rsidRPr="00646BD7">
              <w:rPr>
                <w:rFonts w:ascii="Times New Roman" w:hAnsi="Times New Roman"/>
                <w:sz w:val="14"/>
                <w:szCs w:val="14"/>
              </w:rPr>
              <w:t>Объем выделенного нуклеотидного материала для добавления в готовую сухую ПЦР-смесь</w:t>
            </w:r>
          </w:p>
        </w:tc>
        <w:tc>
          <w:tcPr>
            <w:tcW w:w="157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не менее 0,05</w:t>
            </w:r>
          </w:p>
        </w:tc>
        <w:tc>
          <w:tcPr>
            <w:tcW w:w="124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см3</w:t>
            </w:r>
          </w:p>
        </w:tc>
        <w:tc>
          <w:tcPr>
            <w:tcW w:w="1608"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Участник закупки указывает в заявке конкретное значение характеристики</w:t>
            </w:r>
          </w:p>
        </w:tc>
        <w:tc>
          <w:tcPr>
            <w:tcW w:w="1766"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Для существенного снижения технических ошибок (погрешности при дозировании малых объемов) и достижения необходимой диагностической чувствительности анализа</w:t>
            </w:r>
          </w:p>
        </w:tc>
        <w:tc>
          <w:tcPr>
            <w:tcW w:w="979"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92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199"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64"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742"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51"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r>
      <w:tr w:rsidR="00646BD7" w:rsidRPr="00646BD7" w:rsidTr="00646BD7">
        <w:trPr>
          <w:trHeight w:val="882"/>
        </w:trPr>
        <w:tc>
          <w:tcPr>
            <w:tcW w:w="417"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0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005"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52"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rPr>
                <w:rFonts w:ascii="Times New Roman" w:hAnsi="Times New Roman"/>
                <w:sz w:val="14"/>
                <w:szCs w:val="14"/>
              </w:rPr>
            </w:pPr>
            <w:r w:rsidRPr="00646BD7">
              <w:rPr>
                <w:rFonts w:ascii="Times New Roman" w:hAnsi="Times New Roman"/>
                <w:sz w:val="14"/>
                <w:szCs w:val="14"/>
              </w:rPr>
              <w:t>Единый протокол амплификации для всех наборов для ПЦР диагностики</w:t>
            </w:r>
          </w:p>
        </w:tc>
        <w:tc>
          <w:tcPr>
            <w:tcW w:w="157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соответствие</w:t>
            </w:r>
          </w:p>
        </w:tc>
        <w:tc>
          <w:tcPr>
            <w:tcW w:w="124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p>
        </w:tc>
        <w:tc>
          <w:tcPr>
            <w:tcW w:w="1608"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Значение характеристики не может изменяться участником закупки</w:t>
            </w:r>
          </w:p>
        </w:tc>
        <w:tc>
          <w:tcPr>
            <w:tcW w:w="1766"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Позволяет максимально загружать амплификатор в каждой постановке, что приводит к меньшему износу прибора и увеличению его срока службы</w:t>
            </w:r>
          </w:p>
        </w:tc>
        <w:tc>
          <w:tcPr>
            <w:tcW w:w="979"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92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199"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64"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742"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51"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r>
      <w:tr w:rsidR="00646BD7" w:rsidRPr="00646BD7" w:rsidTr="00646BD7">
        <w:trPr>
          <w:trHeight w:val="660"/>
        </w:trPr>
        <w:tc>
          <w:tcPr>
            <w:tcW w:w="417"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0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005"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52"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rPr>
                <w:rFonts w:ascii="Times New Roman" w:hAnsi="Times New Roman"/>
                <w:sz w:val="14"/>
                <w:szCs w:val="14"/>
              </w:rPr>
            </w:pPr>
            <w:r w:rsidRPr="00646BD7">
              <w:rPr>
                <w:rFonts w:ascii="Times New Roman" w:hAnsi="Times New Roman"/>
                <w:sz w:val="14"/>
                <w:szCs w:val="14"/>
              </w:rPr>
              <w:t>Условия хранения</w:t>
            </w:r>
          </w:p>
        </w:tc>
        <w:tc>
          <w:tcPr>
            <w:tcW w:w="157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температура +2 - +8°С, без заморозки</w:t>
            </w:r>
          </w:p>
        </w:tc>
        <w:tc>
          <w:tcPr>
            <w:tcW w:w="124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p>
        </w:tc>
        <w:tc>
          <w:tcPr>
            <w:tcW w:w="1608"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Значение характеристики не может изменяться участником закупки</w:t>
            </w:r>
          </w:p>
        </w:tc>
        <w:tc>
          <w:tcPr>
            <w:tcW w:w="1766"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Для обеспечения возможности длительного хранения и использования, а так же для сохранения заводских свойств</w:t>
            </w:r>
          </w:p>
        </w:tc>
        <w:tc>
          <w:tcPr>
            <w:tcW w:w="979"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92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199" w:type="dxa"/>
            <w:vMerge/>
            <w:tcBorders>
              <w:left w:val="single" w:sz="4" w:space="0" w:color="000000"/>
              <w:bottom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64" w:type="dxa"/>
            <w:vMerge/>
            <w:tcBorders>
              <w:left w:val="single" w:sz="4" w:space="0" w:color="000000"/>
              <w:bottom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742" w:type="dxa"/>
            <w:vMerge/>
            <w:tcBorders>
              <w:left w:val="single" w:sz="4" w:space="0" w:color="000000"/>
              <w:bottom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51" w:type="dxa"/>
            <w:vMerge/>
            <w:tcBorders>
              <w:left w:val="single" w:sz="4" w:space="0" w:color="000000"/>
              <w:bottom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r>
      <w:tr w:rsidR="00646BD7" w:rsidRPr="00646BD7" w:rsidTr="00646BD7">
        <w:trPr>
          <w:trHeight w:val="660"/>
        </w:trPr>
        <w:tc>
          <w:tcPr>
            <w:tcW w:w="417" w:type="dxa"/>
            <w:vMerge w:val="restart"/>
            <w:tcBorders>
              <w:top w:val="nil"/>
              <w:left w:val="single" w:sz="4" w:space="0" w:color="000000"/>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lastRenderedPageBreak/>
              <w:t>3</w:t>
            </w:r>
          </w:p>
        </w:tc>
        <w:tc>
          <w:tcPr>
            <w:tcW w:w="1504" w:type="dxa"/>
            <w:vMerge w:val="restart"/>
            <w:tcBorders>
              <w:top w:val="nil"/>
              <w:left w:val="single" w:sz="4" w:space="0" w:color="000000"/>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Набор реагентов для иммуноферментного подтверждения присутствия HBs-антигена вируса гепатита В</w:t>
            </w:r>
          </w:p>
        </w:tc>
        <w:tc>
          <w:tcPr>
            <w:tcW w:w="1005" w:type="dxa"/>
            <w:vMerge w:val="restart"/>
            <w:tcBorders>
              <w:top w:val="nil"/>
              <w:left w:val="single" w:sz="4" w:space="0" w:color="000000"/>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Pr>
                <w:rFonts w:ascii="Times New Roman" w:hAnsi="Times New Roman"/>
                <w:sz w:val="14"/>
                <w:szCs w:val="14"/>
              </w:rPr>
              <w:t>21.20.23.110</w:t>
            </w:r>
          </w:p>
        </w:tc>
        <w:tc>
          <w:tcPr>
            <w:tcW w:w="1552"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rPr>
                <w:rFonts w:ascii="Times New Roman" w:hAnsi="Times New Roman"/>
                <w:sz w:val="14"/>
                <w:szCs w:val="14"/>
              </w:rPr>
            </w:pPr>
            <w:r w:rsidRPr="00646BD7">
              <w:rPr>
                <w:rFonts w:ascii="Times New Roman" w:hAnsi="Times New Roman"/>
                <w:sz w:val="14"/>
                <w:szCs w:val="14"/>
              </w:rPr>
              <w:t>Количество выполняемых тестов</w:t>
            </w:r>
          </w:p>
        </w:tc>
        <w:tc>
          <w:tcPr>
            <w:tcW w:w="157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не менее 48</w:t>
            </w:r>
          </w:p>
        </w:tc>
        <w:tc>
          <w:tcPr>
            <w:tcW w:w="124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шт</w:t>
            </w:r>
          </w:p>
        </w:tc>
        <w:tc>
          <w:tcPr>
            <w:tcW w:w="1608"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Участник закупки указывает в заявке конкретное значение характеристики</w:t>
            </w:r>
          </w:p>
        </w:tc>
        <w:tc>
          <w:tcPr>
            <w:tcW w:w="1766"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Обусловлен стандартным размером планшета, на каждый образец требуется 2 лунки</w:t>
            </w:r>
          </w:p>
        </w:tc>
        <w:tc>
          <w:tcPr>
            <w:tcW w:w="979" w:type="dxa"/>
            <w:vMerge w:val="restart"/>
            <w:tcBorders>
              <w:top w:val="nil"/>
              <w:left w:val="single" w:sz="4" w:space="0" w:color="000000"/>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2</w:t>
            </w:r>
          </w:p>
        </w:tc>
        <w:tc>
          <w:tcPr>
            <w:tcW w:w="924" w:type="dxa"/>
            <w:vMerge w:val="restart"/>
            <w:tcBorders>
              <w:top w:val="nil"/>
              <w:left w:val="single" w:sz="4" w:space="0" w:color="000000"/>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набор</w:t>
            </w:r>
          </w:p>
        </w:tc>
        <w:tc>
          <w:tcPr>
            <w:tcW w:w="1199" w:type="dxa"/>
            <w:vMerge w:val="restart"/>
            <w:tcBorders>
              <w:top w:val="nil"/>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64" w:type="dxa"/>
            <w:vMerge w:val="restart"/>
            <w:tcBorders>
              <w:top w:val="nil"/>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742" w:type="dxa"/>
            <w:vMerge w:val="restart"/>
            <w:tcBorders>
              <w:top w:val="nil"/>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51" w:type="dxa"/>
            <w:vMerge w:val="restart"/>
            <w:tcBorders>
              <w:top w:val="nil"/>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r>
      <w:tr w:rsidR="00646BD7" w:rsidRPr="00646BD7" w:rsidTr="00646BD7">
        <w:trPr>
          <w:trHeight w:val="1999"/>
        </w:trPr>
        <w:tc>
          <w:tcPr>
            <w:tcW w:w="417"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0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005"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52"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rPr>
                <w:rFonts w:ascii="Times New Roman" w:hAnsi="Times New Roman"/>
                <w:sz w:val="14"/>
                <w:szCs w:val="14"/>
              </w:rPr>
            </w:pPr>
            <w:r w:rsidRPr="00646BD7">
              <w:rPr>
                <w:rFonts w:ascii="Times New Roman" w:hAnsi="Times New Roman"/>
                <w:sz w:val="14"/>
                <w:szCs w:val="14"/>
              </w:rPr>
              <w:t>Метод</w:t>
            </w:r>
          </w:p>
        </w:tc>
        <w:tc>
          <w:tcPr>
            <w:tcW w:w="157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«сэндвич»-вариант ИФА, двухстадийный</w:t>
            </w:r>
          </w:p>
        </w:tc>
        <w:tc>
          <w:tcPr>
            <w:tcW w:w="124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p>
        </w:tc>
        <w:tc>
          <w:tcPr>
            <w:tcW w:w="1608"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Значение характеристики не может изменяться участником закупки</w:t>
            </w:r>
          </w:p>
        </w:tc>
        <w:tc>
          <w:tcPr>
            <w:tcW w:w="1766"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Метод позволяет уменьшить долю ложноположительных и ложноотрицательных результатов, избежать влияния ревматоидного фактора, тем самым обеспечивая максимальную чувствительность и специфичность. Раздельное связывание антигенов и антител с конъюгатами на разных этапах проведения анализа обеспечивает максимальную чувствительность и специфичность.</w:t>
            </w:r>
          </w:p>
        </w:tc>
        <w:tc>
          <w:tcPr>
            <w:tcW w:w="979"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92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199"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64"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742"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51"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r>
      <w:tr w:rsidR="00646BD7" w:rsidRPr="00646BD7" w:rsidTr="00646BD7">
        <w:trPr>
          <w:trHeight w:val="1122"/>
        </w:trPr>
        <w:tc>
          <w:tcPr>
            <w:tcW w:w="417"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0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005"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52"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rPr>
                <w:rFonts w:ascii="Times New Roman" w:hAnsi="Times New Roman"/>
                <w:sz w:val="14"/>
                <w:szCs w:val="14"/>
              </w:rPr>
            </w:pPr>
            <w:r w:rsidRPr="00646BD7">
              <w:rPr>
                <w:rFonts w:ascii="Times New Roman" w:hAnsi="Times New Roman"/>
                <w:sz w:val="14"/>
                <w:szCs w:val="14"/>
              </w:rPr>
              <w:t>Количество лунок, используемых для внесения контролей при использовании целого планшета</w:t>
            </w:r>
          </w:p>
        </w:tc>
        <w:tc>
          <w:tcPr>
            <w:tcW w:w="157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не более 8</w:t>
            </w:r>
          </w:p>
        </w:tc>
        <w:tc>
          <w:tcPr>
            <w:tcW w:w="124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шт</w:t>
            </w:r>
          </w:p>
        </w:tc>
        <w:tc>
          <w:tcPr>
            <w:tcW w:w="1608"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Участник закупки указывает в заявке конкретное значение характеристики</w:t>
            </w:r>
          </w:p>
        </w:tc>
        <w:tc>
          <w:tcPr>
            <w:tcW w:w="1766"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Минимизация количества лунок для контролей позволяет оптимально использовать диагностический набор, увеличивая количество лунок для проб и снижая себестоимость теста</w:t>
            </w:r>
          </w:p>
        </w:tc>
        <w:tc>
          <w:tcPr>
            <w:tcW w:w="979"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92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199"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64"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742"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51"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r>
      <w:tr w:rsidR="00646BD7" w:rsidRPr="00646BD7" w:rsidTr="00646BD7">
        <w:trPr>
          <w:trHeight w:val="660"/>
        </w:trPr>
        <w:tc>
          <w:tcPr>
            <w:tcW w:w="417"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0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005"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52"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rPr>
                <w:rFonts w:ascii="Times New Roman" w:hAnsi="Times New Roman"/>
                <w:sz w:val="14"/>
                <w:szCs w:val="14"/>
              </w:rPr>
            </w:pPr>
            <w:r w:rsidRPr="00646BD7">
              <w:rPr>
                <w:rFonts w:ascii="Times New Roman" w:hAnsi="Times New Roman"/>
                <w:sz w:val="14"/>
                <w:szCs w:val="14"/>
              </w:rPr>
              <w:t>Чувствительность</w:t>
            </w:r>
          </w:p>
        </w:tc>
        <w:tc>
          <w:tcPr>
            <w:tcW w:w="157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не более 0,01</w:t>
            </w:r>
          </w:p>
        </w:tc>
        <w:tc>
          <w:tcPr>
            <w:tcW w:w="124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МЕ/мл</w:t>
            </w:r>
          </w:p>
        </w:tc>
        <w:tc>
          <w:tcPr>
            <w:tcW w:w="1608"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Участник закупки указывает в заявке конкретное значение характеристики</w:t>
            </w:r>
          </w:p>
        </w:tc>
        <w:tc>
          <w:tcPr>
            <w:tcW w:w="1766"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Высокая чувствительность необходима для исключения ложноотрицательных результатов</w:t>
            </w:r>
          </w:p>
        </w:tc>
        <w:tc>
          <w:tcPr>
            <w:tcW w:w="979"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92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199"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64"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742"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51"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r>
      <w:tr w:rsidR="00646BD7" w:rsidRPr="00646BD7" w:rsidTr="00646BD7">
        <w:trPr>
          <w:trHeight w:val="1122"/>
        </w:trPr>
        <w:tc>
          <w:tcPr>
            <w:tcW w:w="417"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0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005"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52"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rPr>
                <w:rFonts w:ascii="Times New Roman" w:hAnsi="Times New Roman"/>
                <w:sz w:val="14"/>
                <w:szCs w:val="14"/>
              </w:rPr>
            </w:pPr>
            <w:r w:rsidRPr="00646BD7">
              <w:rPr>
                <w:rFonts w:ascii="Times New Roman" w:hAnsi="Times New Roman"/>
                <w:sz w:val="14"/>
                <w:szCs w:val="14"/>
              </w:rPr>
              <w:t>Нижний предел значения концентрации HBsAg контрольного слабоположительного образца</w:t>
            </w:r>
          </w:p>
        </w:tc>
        <w:tc>
          <w:tcPr>
            <w:tcW w:w="157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не более 0,02</w:t>
            </w:r>
          </w:p>
        </w:tc>
        <w:tc>
          <w:tcPr>
            <w:tcW w:w="124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МЕ/мл</w:t>
            </w:r>
          </w:p>
        </w:tc>
        <w:tc>
          <w:tcPr>
            <w:tcW w:w="1608"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Участник закупки указывает в заявке конкретное значение характеристики</w:t>
            </w:r>
          </w:p>
        </w:tc>
        <w:tc>
          <w:tcPr>
            <w:tcW w:w="1766"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Указанный предел значения концентрации маркера позволяет контролировать чувствительность при проведении исследования.</w:t>
            </w:r>
          </w:p>
        </w:tc>
        <w:tc>
          <w:tcPr>
            <w:tcW w:w="979"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92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199"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64"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742"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51"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r>
      <w:tr w:rsidR="00646BD7" w:rsidRPr="00646BD7" w:rsidTr="00646BD7">
        <w:trPr>
          <w:trHeight w:val="1122"/>
        </w:trPr>
        <w:tc>
          <w:tcPr>
            <w:tcW w:w="417"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0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005"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52"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rPr>
                <w:rFonts w:ascii="Times New Roman" w:hAnsi="Times New Roman"/>
                <w:sz w:val="14"/>
                <w:szCs w:val="14"/>
              </w:rPr>
            </w:pPr>
            <w:r w:rsidRPr="00646BD7">
              <w:rPr>
                <w:rFonts w:ascii="Times New Roman" w:hAnsi="Times New Roman"/>
                <w:sz w:val="14"/>
                <w:szCs w:val="14"/>
              </w:rPr>
              <w:t>Верхний предел значения концентрации HBsAg контрольного слабоположительного образца</w:t>
            </w:r>
          </w:p>
        </w:tc>
        <w:tc>
          <w:tcPr>
            <w:tcW w:w="157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не менее 0,06</w:t>
            </w:r>
          </w:p>
        </w:tc>
        <w:tc>
          <w:tcPr>
            <w:tcW w:w="124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МЕ/мл</w:t>
            </w:r>
          </w:p>
        </w:tc>
        <w:tc>
          <w:tcPr>
            <w:tcW w:w="1608"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Участник закупки указывает в заявке конкретное значение характеристики</w:t>
            </w:r>
          </w:p>
        </w:tc>
        <w:tc>
          <w:tcPr>
            <w:tcW w:w="1766"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Указанный предел значения концентрации маркера позволяет контролировать чувствительность при проведении исследования.</w:t>
            </w:r>
          </w:p>
        </w:tc>
        <w:tc>
          <w:tcPr>
            <w:tcW w:w="979"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92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199"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64"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742"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51"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r>
      <w:tr w:rsidR="00646BD7" w:rsidRPr="00646BD7" w:rsidTr="00646BD7">
        <w:trPr>
          <w:trHeight w:val="660"/>
        </w:trPr>
        <w:tc>
          <w:tcPr>
            <w:tcW w:w="417"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0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005"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52"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rPr>
                <w:rFonts w:ascii="Times New Roman" w:hAnsi="Times New Roman"/>
                <w:sz w:val="14"/>
                <w:szCs w:val="14"/>
              </w:rPr>
            </w:pPr>
            <w:r w:rsidRPr="00646BD7">
              <w:rPr>
                <w:rFonts w:ascii="Times New Roman" w:hAnsi="Times New Roman"/>
                <w:sz w:val="14"/>
                <w:szCs w:val="14"/>
              </w:rPr>
              <w:t>Количество образца для анализа (сыворотка крови, плазма крови)</w:t>
            </w:r>
          </w:p>
        </w:tc>
        <w:tc>
          <w:tcPr>
            <w:tcW w:w="157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не более 0,2</w:t>
            </w:r>
          </w:p>
        </w:tc>
        <w:tc>
          <w:tcPr>
            <w:tcW w:w="124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см3</w:t>
            </w:r>
          </w:p>
        </w:tc>
        <w:tc>
          <w:tcPr>
            <w:tcW w:w="1608"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Участник закупки указывает в заявке конкретное значение характеристики</w:t>
            </w:r>
          </w:p>
        </w:tc>
        <w:tc>
          <w:tcPr>
            <w:tcW w:w="1766"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Чем меньше образца требуется для проведения одного анализа, тем больше различных исследований можно выполнить из одной пробы</w:t>
            </w:r>
          </w:p>
        </w:tc>
        <w:tc>
          <w:tcPr>
            <w:tcW w:w="979"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92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199"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64"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742"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51"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r>
      <w:tr w:rsidR="00646BD7" w:rsidRPr="00646BD7" w:rsidTr="00646BD7">
        <w:trPr>
          <w:trHeight w:val="1560"/>
        </w:trPr>
        <w:tc>
          <w:tcPr>
            <w:tcW w:w="417"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0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005"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52"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rPr>
                <w:rFonts w:ascii="Times New Roman" w:hAnsi="Times New Roman"/>
                <w:sz w:val="14"/>
                <w:szCs w:val="14"/>
              </w:rPr>
            </w:pPr>
            <w:r w:rsidRPr="00646BD7">
              <w:rPr>
                <w:rFonts w:ascii="Times New Roman" w:hAnsi="Times New Roman"/>
                <w:sz w:val="14"/>
                <w:szCs w:val="14"/>
              </w:rPr>
              <w:t>Суммарное время инкубации</w:t>
            </w:r>
          </w:p>
        </w:tc>
        <w:tc>
          <w:tcPr>
            <w:tcW w:w="157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не более 100</w:t>
            </w:r>
          </w:p>
        </w:tc>
        <w:tc>
          <w:tcPr>
            <w:tcW w:w="124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мин</w:t>
            </w:r>
          </w:p>
        </w:tc>
        <w:tc>
          <w:tcPr>
            <w:tcW w:w="1608"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Участник закупки указывает в заявке конкретное значение характеристики</w:t>
            </w:r>
          </w:p>
        </w:tc>
        <w:tc>
          <w:tcPr>
            <w:tcW w:w="1766"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Позволяет не нарушать технологические процессы в лаборатории, которые выверены с учетом табельного расписания и максимально оптимизированы. Изменение в протоколе постановки тест-системы неизбежно повредит отлаженный механизм исследований в лаборатории</w:t>
            </w:r>
          </w:p>
        </w:tc>
        <w:tc>
          <w:tcPr>
            <w:tcW w:w="979"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92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199"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64"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742"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51"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r>
      <w:tr w:rsidR="00646BD7" w:rsidRPr="00646BD7" w:rsidTr="00646BD7">
        <w:trPr>
          <w:trHeight w:val="660"/>
        </w:trPr>
        <w:tc>
          <w:tcPr>
            <w:tcW w:w="417"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0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005"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52"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rPr>
                <w:rFonts w:ascii="Times New Roman" w:hAnsi="Times New Roman"/>
                <w:sz w:val="14"/>
                <w:szCs w:val="14"/>
              </w:rPr>
            </w:pPr>
            <w:r w:rsidRPr="00646BD7">
              <w:rPr>
                <w:rFonts w:ascii="Times New Roman" w:hAnsi="Times New Roman"/>
                <w:sz w:val="14"/>
                <w:szCs w:val="14"/>
              </w:rPr>
              <w:t>Использование шейкера</w:t>
            </w:r>
          </w:p>
        </w:tc>
        <w:tc>
          <w:tcPr>
            <w:tcW w:w="157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постановка анализа с использованием шейкера</w:t>
            </w:r>
          </w:p>
        </w:tc>
        <w:tc>
          <w:tcPr>
            <w:tcW w:w="124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p>
        </w:tc>
        <w:tc>
          <w:tcPr>
            <w:tcW w:w="1608"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Значение характеристики не может изменяться участником закупки</w:t>
            </w:r>
          </w:p>
        </w:tc>
        <w:tc>
          <w:tcPr>
            <w:tcW w:w="1766"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Исключает влияние внешних факторов, тем самым обеспечивая стабильность проведения анализа</w:t>
            </w:r>
          </w:p>
        </w:tc>
        <w:tc>
          <w:tcPr>
            <w:tcW w:w="979"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92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199"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64"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742"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51"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r>
      <w:tr w:rsidR="00646BD7" w:rsidRPr="00646BD7" w:rsidTr="00646BD7">
        <w:trPr>
          <w:trHeight w:val="882"/>
        </w:trPr>
        <w:tc>
          <w:tcPr>
            <w:tcW w:w="417"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0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005"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52"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rPr>
                <w:rFonts w:ascii="Times New Roman" w:hAnsi="Times New Roman"/>
                <w:sz w:val="14"/>
                <w:szCs w:val="14"/>
              </w:rPr>
            </w:pPr>
            <w:r w:rsidRPr="00646BD7">
              <w:rPr>
                <w:rFonts w:ascii="Times New Roman" w:hAnsi="Times New Roman"/>
                <w:sz w:val="14"/>
                <w:szCs w:val="14"/>
              </w:rPr>
              <w:t>Количество вариантов проведения ИФА</w:t>
            </w:r>
          </w:p>
        </w:tc>
        <w:tc>
          <w:tcPr>
            <w:tcW w:w="157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не менее 4</w:t>
            </w:r>
          </w:p>
        </w:tc>
        <w:tc>
          <w:tcPr>
            <w:tcW w:w="124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шт</w:t>
            </w:r>
          </w:p>
        </w:tc>
        <w:tc>
          <w:tcPr>
            <w:tcW w:w="1608"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Участник закупки указывает в заявке конкретное значение характеристики</w:t>
            </w:r>
          </w:p>
        </w:tc>
        <w:tc>
          <w:tcPr>
            <w:tcW w:w="1766"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Позволяет выбрать оптимальный алгоритм действий при большом количестве параллельно запускаемых методик с разными процедурами проведения анализа</w:t>
            </w:r>
          </w:p>
        </w:tc>
        <w:tc>
          <w:tcPr>
            <w:tcW w:w="979"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92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199"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64"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742"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51"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r>
      <w:tr w:rsidR="00646BD7" w:rsidRPr="00646BD7" w:rsidTr="00646BD7">
        <w:trPr>
          <w:trHeight w:val="660"/>
        </w:trPr>
        <w:tc>
          <w:tcPr>
            <w:tcW w:w="417"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0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005"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52"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rPr>
                <w:rFonts w:ascii="Times New Roman" w:hAnsi="Times New Roman"/>
                <w:sz w:val="14"/>
                <w:szCs w:val="14"/>
              </w:rPr>
            </w:pPr>
            <w:r w:rsidRPr="00646BD7">
              <w:rPr>
                <w:rFonts w:ascii="Times New Roman" w:hAnsi="Times New Roman"/>
                <w:sz w:val="14"/>
                <w:szCs w:val="14"/>
              </w:rPr>
              <w:t>Промывка после инкубации</w:t>
            </w:r>
          </w:p>
        </w:tc>
        <w:tc>
          <w:tcPr>
            <w:tcW w:w="157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одинаковые алгоритмы промывок</w:t>
            </w:r>
          </w:p>
        </w:tc>
        <w:tc>
          <w:tcPr>
            <w:tcW w:w="124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p>
        </w:tc>
        <w:tc>
          <w:tcPr>
            <w:tcW w:w="1608"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Значение характеристики не может изменяться участником закупки</w:t>
            </w:r>
          </w:p>
        </w:tc>
        <w:tc>
          <w:tcPr>
            <w:tcW w:w="1766"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Не требуется дополнительная перенастройка оборудования. Снижает риск возникновения ошибки при постановке ИФА-анализа оператором</w:t>
            </w:r>
          </w:p>
        </w:tc>
        <w:tc>
          <w:tcPr>
            <w:tcW w:w="979"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92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199" w:type="dxa"/>
            <w:vMerge/>
            <w:tcBorders>
              <w:left w:val="single" w:sz="4" w:space="0" w:color="000000"/>
              <w:bottom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64" w:type="dxa"/>
            <w:vMerge/>
            <w:tcBorders>
              <w:left w:val="single" w:sz="4" w:space="0" w:color="000000"/>
              <w:bottom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742" w:type="dxa"/>
            <w:vMerge/>
            <w:tcBorders>
              <w:left w:val="single" w:sz="4" w:space="0" w:color="000000"/>
              <w:bottom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51" w:type="dxa"/>
            <w:vMerge/>
            <w:tcBorders>
              <w:left w:val="single" w:sz="4" w:space="0" w:color="000000"/>
              <w:bottom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r>
      <w:tr w:rsidR="00646BD7" w:rsidRPr="00646BD7" w:rsidTr="00646BD7">
        <w:trPr>
          <w:trHeight w:val="562"/>
        </w:trPr>
        <w:tc>
          <w:tcPr>
            <w:tcW w:w="417" w:type="dxa"/>
            <w:vMerge w:val="restart"/>
            <w:tcBorders>
              <w:top w:val="nil"/>
              <w:left w:val="single" w:sz="4" w:space="0" w:color="000000"/>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4</w:t>
            </w:r>
          </w:p>
        </w:tc>
        <w:tc>
          <w:tcPr>
            <w:tcW w:w="1504" w:type="dxa"/>
            <w:vMerge w:val="restart"/>
            <w:tcBorders>
              <w:top w:val="nil"/>
              <w:left w:val="single" w:sz="4" w:space="0" w:color="000000"/>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Вирус гепатита В антитела класса иммуноглобулин G (IgG) к е-антигену ИВД, набор, иммуноферментный анализ (ИФА)</w:t>
            </w:r>
          </w:p>
        </w:tc>
        <w:tc>
          <w:tcPr>
            <w:tcW w:w="1005" w:type="dxa"/>
            <w:vMerge w:val="restart"/>
            <w:tcBorders>
              <w:top w:val="nil"/>
              <w:left w:val="single" w:sz="4" w:space="0" w:color="000000"/>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21.20.23.110-00008382</w:t>
            </w:r>
            <w:r>
              <w:rPr>
                <w:rFonts w:ascii="Times New Roman" w:hAnsi="Times New Roman"/>
                <w:sz w:val="14"/>
                <w:szCs w:val="14"/>
              </w:rPr>
              <w:t>**</w:t>
            </w:r>
          </w:p>
        </w:tc>
        <w:tc>
          <w:tcPr>
            <w:tcW w:w="1552" w:type="dxa"/>
            <w:tcBorders>
              <w:top w:val="nil"/>
              <w:left w:val="nil"/>
              <w:bottom w:val="single" w:sz="4" w:space="0" w:color="000000"/>
              <w:right w:val="single" w:sz="4" w:space="0" w:color="000000"/>
            </w:tcBorders>
            <w:shd w:val="clear" w:color="auto" w:fill="auto"/>
          </w:tcPr>
          <w:p w:rsidR="00646BD7" w:rsidRPr="00646BD7" w:rsidRDefault="00646BD7" w:rsidP="00646BD7">
            <w:pPr>
              <w:pStyle w:val="af7"/>
              <w:rPr>
                <w:rFonts w:ascii="Times New Roman" w:hAnsi="Times New Roman"/>
                <w:sz w:val="14"/>
                <w:szCs w:val="14"/>
              </w:rPr>
            </w:pPr>
            <w:r w:rsidRPr="00646BD7">
              <w:rPr>
                <w:rFonts w:ascii="Times New Roman" w:hAnsi="Times New Roman"/>
                <w:sz w:val="14"/>
                <w:szCs w:val="14"/>
              </w:rPr>
              <w:t>Количество выполняемых тестов</w:t>
            </w:r>
          </w:p>
        </w:tc>
        <w:tc>
          <w:tcPr>
            <w:tcW w:w="1577" w:type="dxa"/>
            <w:tcBorders>
              <w:top w:val="nil"/>
              <w:left w:val="nil"/>
              <w:bottom w:val="single" w:sz="4" w:space="0" w:color="000000"/>
              <w:right w:val="single" w:sz="4" w:space="0" w:color="000000"/>
            </w:tcBorders>
            <w:shd w:val="clear" w:color="auto" w:fill="auto"/>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не менее 96</w:t>
            </w:r>
          </w:p>
        </w:tc>
        <w:tc>
          <w:tcPr>
            <w:tcW w:w="1247" w:type="dxa"/>
            <w:tcBorders>
              <w:top w:val="nil"/>
              <w:left w:val="nil"/>
              <w:bottom w:val="single" w:sz="4" w:space="0" w:color="000000"/>
              <w:right w:val="single" w:sz="4" w:space="0" w:color="000000"/>
            </w:tcBorders>
            <w:shd w:val="clear" w:color="auto" w:fill="auto"/>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шт</w:t>
            </w:r>
          </w:p>
        </w:tc>
        <w:tc>
          <w:tcPr>
            <w:tcW w:w="1608" w:type="dxa"/>
            <w:tcBorders>
              <w:top w:val="nil"/>
              <w:left w:val="nil"/>
              <w:bottom w:val="single" w:sz="4" w:space="0" w:color="000000"/>
              <w:right w:val="single" w:sz="4" w:space="0" w:color="000000"/>
            </w:tcBorders>
            <w:shd w:val="clear" w:color="auto" w:fill="auto"/>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Участник закупки указывает в заявке конкретное значение характеристики</w:t>
            </w:r>
          </w:p>
        </w:tc>
        <w:tc>
          <w:tcPr>
            <w:tcW w:w="1766" w:type="dxa"/>
            <w:tcBorders>
              <w:top w:val="nil"/>
              <w:left w:val="nil"/>
              <w:bottom w:val="single" w:sz="4" w:space="0" w:color="000000"/>
              <w:right w:val="single" w:sz="4" w:space="0" w:color="000000"/>
            </w:tcBorders>
            <w:shd w:val="clear" w:color="auto" w:fill="auto"/>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Обусловлен количеством стандартных планшетов</w:t>
            </w:r>
          </w:p>
        </w:tc>
        <w:tc>
          <w:tcPr>
            <w:tcW w:w="979" w:type="dxa"/>
            <w:vMerge w:val="restart"/>
            <w:tcBorders>
              <w:top w:val="nil"/>
              <w:left w:val="single" w:sz="4" w:space="0" w:color="000000"/>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1</w:t>
            </w:r>
          </w:p>
        </w:tc>
        <w:tc>
          <w:tcPr>
            <w:tcW w:w="924" w:type="dxa"/>
            <w:vMerge w:val="restart"/>
            <w:tcBorders>
              <w:top w:val="nil"/>
              <w:left w:val="single" w:sz="4" w:space="0" w:color="000000"/>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набор</w:t>
            </w:r>
          </w:p>
        </w:tc>
        <w:tc>
          <w:tcPr>
            <w:tcW w:w="1199" w:type="dxa"/>
            <w:vMerge w:val="restart"/>
            <w:tcBorders>
              <w:top w:val="nil"/>
              <w:left w:val="single" w:sz="4" w:space="0" w:color="000000"/>
              <w:bottom w:val="nil"/>
              <w:right w:val="single" w:sz="4" w:space="0" w:color="000000"/>
            </w:tcBorders>
          </w:tcPr>
          <w:p w:rsidR="00646BD7" w:rsidRPr="00646BD7" w:rsidRDefault="00646BD7" w:rsidP="00646BD7">
            <w:pPr>
              <w:pStyle w:val="af7"/>
              <w:rPr>
                <w:rFonts w:ascii="Times New Roman" w:hAnsi="Times New Roman"/>
                <w:sz w:val="14"/>
                <w:szCs w:val="14"/>
              </w:rPr>
            </w:pPr>
          </w:p>
        </w:tc>
        <w:tc>
          <w:tcPr>
            <w:tcW w:w="664" w:type="dxa"/>
            <w:vMerge w:val="restart"/>
            <w:tcBorders>
              <w:top w:val="nil"/>
              <w:left w:val="single" w:sz="4" w:space="0" w:color="000000"/>
              <w:bottom w:val="nil"/>
              <w:right w:val="single" w:sz="4" w:space="0" w:color="000000"/>
            </w:tcBorders>
          </w:tcPr>
          <w:p w:rsidR="00646BD7" w:rsidRPr="00646BD7" w:rsidRDefault="00646BD7" w:rsidP="00646BD7">
            <w:pPr>
              <w:pStyle w:val="af7"/>
              <w:rPr>
                <w:rFonts w:ascii="Times New Roman" w:hAnsi="Times New Roman"/>
                <w:sz w:val="14"/>
                <w:szCs w:val="14"/>
              </w:rPr>
            </w:pPr>
          </w:p>
        </w:tc>
        <w:tc>
          <w:tcPr>
            <w:tcW w:w="742" w:type="dxa"/>
            <w:vMerge w:val="restart"/>
            <w:tcBorders>
              <w:top w:val="nil"/>
              <w:left w:val="single" w:sz="4" w:space="0" w:color="000000"/>
              <w:bottom w:val="nil"/>
              <w:right w:val="single" w:sz="4" w:space="0" w:color="000000"/>
            </w:tcBorders>
          </w:tcPr>
          <w:p w:rsidR="00646BD7" w:rsidRPr="00646BD7" w:rsidRDefault="00646BD7" w:rsidP="00646BD7">
            <w:pPr>
              <w:pStyle w:val="af7"/>
              <w:rPr>
                <w:rFonts w:ascii="Times New Roman" w:hAnsi="Times New Roman"/>
                <w:sz w:val="14"/>
                <w:szCs w:val="14"/>
              </w:rPr>
            </w:pPr>
          </w:p>
        </w:tc>
        <w:tc>
          <w:tcPr>
            <w:tcW w:w="651" w:type="dxa"/>
            <w:vMerge w:val="restart"/>
            <w:tcBorders>
              <w:top w:val="nil"/>
              <w:left w:val="single" w:sz="4" w:space="0" w:color="000000"/>
              <w:bottom w:val="nil"/>
              <w:right w:val="single" w:sz="4" w:space="0" w:color="000000"/>
            </w:tcBorders>
          </w:tcPr>
          <w:p w:rsidR="00646BD7" w:rsidRPr="00646BD7" w:rsidRDefault="00646BD7" w:rsidP="00646BD7">
            <w:pPr>
              <w:pStyle w:val="af7"/>
              <w:rPr>
                <w:rFonts w:ascii="Times New Roman" w:hAnsi="Times New Roman"/>
                <w:sz w:val="14"/>
                <w:szCs w:val="14"/>
              </w:rPr>
            </w:pPr>
          </w:p>
        </w:tc>
      </w:tr>
      <w:tr w:rsidR="00646BD7" w:rsidRPr="00646BD7" w:rsidTr="00646BD7">
        <w:trPr>
          <w:trHeight w:val="1999"/>
        </w:trPr>
        <w:tc>
          <w:tcPr>
            <w:tcW w:w="417"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0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005"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52"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rPr>
                <w:rFonts w:ascii="Times New Roman" w:hAnsi="Times New Roman"/>
                <w:sz w:val="14"/>
                <w:szCs w:val="14"/>
              </w:rPr>
            </w:pPr>
            <w:r w:rsidRPr="00646BD7">
              <w:rPr>
                <w:rFonts w:ascii="Times New Roman" w:hAnsi="Times New Roman"/>
                <w:sz w:val="14"/>
                <w:szCs w:val="14"/>
              </w:rPr>
              <w:t>Метод</w:t>
            </w:r>
          </w:p>
        </w:tc>
        <w:tc>
          <w:tcPr>
            <w:tcW w:w="157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«сэндвич»-вариант ИФА, двухстадийный</w:t>
            </w:r>
          </w:p>
        </w:tc>
        <w:tc>
          <w:tcPr>
            <w:tcW w:w="124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p>
        </w:tc>
        <w:tc>
          <w:tcPr>
            <w:tcW w:w="1608"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Значение характеристики не может изменяться участником закупки</w:t>
            </w:r>
          </w:p>
        </w:tc>
        <w:tc>
          <w:tcPr>
            <w:tcW w:w="1766"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Метод позволяет уменьшить долю ложноположительных и ложноотрицательных результатов, избежать влияния ревматоидного фактора, тем самым обеспечивая максимальную чувствительность и специфичность. Раздельное связывание антигенов и антител с конъюгатами на разных этапах проведения анализа обеспечивает максимальную чувствительность и специфичность.</w:t>
            </w:r>
          </w:p>
        </w:tc>
        <w:tc>
          <w:tcPr>
            <w:tcW w:w="979"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92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199"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64"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742"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51"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r>
      <w:tr w:rsidR="00646BD7" w:rsidRPr="00646BD7" w:rsidTr="00646BD7">
        <w:trPr>
          <w:trHeight w:val="1122"/>
        </w:trPr>
        <w:tc>
          <w:tcPr>
            <w:tcW w:w="417"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0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005"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52"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rPr>
                <w:rFonts w:ascii="Times New Roman" w:hAnsi="Times New Roman"/>
                <w:sz w:val="14"/>
                <w:szCs w:val="14"/>
              </w:rPr>
            </w:pPr>
            <w:r w:rsidRPr="00646BD7">
              <w:rPr>
                <w:rFonts w:ascii="Times New Roman" w:hAnsi="Times New Roman"/>
                <w:sz w:val="14"/>
                <w:szCs w:val="14"/>
              </w:rPr>
              <w:t>Количество лунок, используемых для внесения контролей при использовании целого планшета</w:t>
            </w:r>
          </w:p>
        </w:tc>
        <w:tc>
          <w:tcPr>
            <w:tcW w:w="157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не более 3</w:t>
            </w:r>
          </w:p>
        </w:tc>
        <w:tc>
          <w:tcPr>
            <w:tcW w:w="124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шт</w:t>
            </w:r>
          </w:p>
        </w:tc>
        <w:tc>
          <w:tcPr>
            <w:tcW w:w="1608"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Участник закупки указывает в заявке конкретное значение характеристики</w:t>
            </w:r>
          </w:p>
        </w:tc>
        <w:tc>
          <w:tcPr>
            <w:tcW w:w="1766"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Минимизация количества лунок для контролей позволяет оптимально использовать диагностический набор, увеличивая количество лунок для проб и снижая себестоимость теста</w:t>
            </w:r>
          </w:p>
        </w:tc>
        <w:tc>
          <w:tcPr>
            <w:tcW w:w="979"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92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199"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64"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742"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51"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r>
      <w:tr w:rsidR="00646BD7" w:rsidRPr="00646BD7" w:rsidTr="00646BD7">
        <w:trPr>
          <w:trHeight w:val="660"/>
        </w:trPr>
        <w:tc>
          <w:tcPr>
            <w:tcW w:w="417"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0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005"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52"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rPr>
                <w:rFonts w:ascii="Times New Roman" w:hAnsi="Times New Roman"/>
                <w:sz w:val="14"/>
                <w:szCs w:val="14"/>
              </w:rPr>
            </w:pPr>
            <w:r w:rsidRPr="00646BD7">
              <w:rPr>
                <w:rFonts w:ascii="Times New Roman" w:hAnsi="Times New Roman"/>
                <w:sz w:val="14"/>
                <w:szCs w:val="14"/>
              </w:rPr>
              <w:t>Количество образца для анализа (сыворотка крови, плазма крови)</w:t>
            </w:r>
          </w:p>
        </w:tc>
        <w:tc>
          <w:tcPr>
            <w:tcW w:w="157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не более 0,01</w:t>
            </w:r>
          </w:p>
        </w:tc>
        <w:tc>
          <w:tcPr>
            <w:tcW w:w="124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см3</w:t>
            </w:r>
          </w:p>
        </w:tc>
        <w:tc>
          <w:tcPr>
            <w:tcW w:w="1608"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Участник закупки указывает в заявке конкретное значение характеристики</w:t>
            </w:r>
          </w:p>
        </w:tc>
        <w:tc>
          <w:tcPr>
            <w:tcW w:w="1766"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Чем меньше образца требуется для проведения одного анализа, тем больше различных исследований можно выполнить из одной пробы</w:t>
            </w:r>
          </w:p>
        </w:tc>
        <w:tc>
          <w:tcPr>
            <w:tcW w:w="979"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92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199"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64"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742"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51"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r>
      <w:tr w:rsidR="00646BD7" w:rsidRPr="00646BD7" w:rsidTr="00646BD7">
        <w:trPr>
          <w:trHeight w:val="1560"/>
        </w:trPr>
        <w:tc>
          <w:tcPr>
            <w:tcW w:w="417"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0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005"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52"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rPr>
                <w:rFonts w:ascii="Times New Roman" w:hAnsi="Times New Roman"/>
                <w:sz w:val="14"/>
                <w:szCs w:val="14"/>
              </w:rPr>
            </w:pPr>
            <w:r w:rsidRPr="00646BD7">
              <w:rPr>
                <w:rFonts w:ascii="Times New Roman" w:hAnsi="Times New Roman"/>
                <w:sz w:val="14"/>
                <w:szCs w:val="14"/>
              </w:rPr>
              <w:t>Суммарное время инкубации</w:t>
            </w:r>
          </w:p>
        </w:tc>
        <w:tc>
          <w:tcPr>
            <w:tcW w:w="157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не более 85</w:t>
            </w:r>
          </w:p>
        </w:tc>
        <w:tc>
          <w:tcPr>
            <w:tcW w:w="124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мин</w:t>
            </w:r>
          </w:p>
        </w:tc>
        <w:tc>
          <w:tcPr>
            <w:tcW w:w="1608"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Участник закупки указывает в заявке конкретное значение характеристики</w:t>
            </w:r>
          </w:p>
        </w:tc>
        <w:tc>
          <w:tcPr>
            <w:tcW w:w="1766"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Позволяет не нарушать технологические процессы в лаборатории, которые выверены с учетом табельного расписания и максимально оптимизированы. Изменение в протоколе постановки тест-системы неизбежно повредит отлаженный механизм исследований в лаборатории</w:t>
            </w:r>
          </w:p>
        </w:tc>
        <w:tc>
          <w:tcPr>
            <w:tcW w:w="979"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92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199"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64"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742"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51"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r>
      <w:tr w:rsidR="00646BD7" w:rsidRPr="00646BD7" w:rsidTr="00646BD7">
        <w:trPr>
          <w:trHeight w:val="882"/>
        </w:trPr>
        <w:tc>
          <w:tcPr>
            <w:tcW w:w="417"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0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005"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52"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rPr>
                <w:rFonts w:ascii="Times New Roman" w:hAnsi="Times New Roman"/>
                <w:sz w:val="14"/>
                <w:szCs w:val="14"/>
              </w:rPr>
            </w:pPr>
            <w:r w:rsidRPr="00646BD7">
              <w:rPr>
                <w:rFonts w:ascii="Times New Roman" w:hAnsi="Times New Roman"/>
                <w:sz w:val="14"/>
                <w:szCs w:val="14"/>
              </w:rPr>
              <w:t>Предварительная промывка планшета</w:t>
            </w:r>
          </w:p>
        </w:tc>
        <w:tc>
          <w:tcPr>
            <w:tcW w:w="157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отсутствие</w:t>
            </w:r>
          </w:p>
        </w:tc>
        <w:tc>
          <w:tcPr>
            <w:tcW w:w="124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p>
        </w:tc>
        <w:tc>
          <w:tcPr>
            <w:tcW w:w="1608"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Значение характеристики не может изменяться участником закупки</w:t>
            </w:r>
          </w:p>
        </w:tc>
        <w:tc>
          <w:tcPr>
            <w:tcW w:w="1766"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Сокращение количества различных этапов проведения анализа снижает вероятность ошибки и увеличивает скорость получения результатов</w:t>
            </w:r>
          </w:p>
        </w:tc>
        <w:tc>
          <w:tcPr>
            <w:tcW w:w="979"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92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199"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64"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742"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51"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r>
      <w:tr w:rsidR="00646BD7" w:rsidRPr="00646BD7" w:rsidTr="00646BD7">
        <w:trPr>
          <w:trHeight w:val="660"/>
        </w:trPr>
        <w:tc>
          <w:tcPr>
            <w:tcW w:w="417"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0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005"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52"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rPr>
                <w:rFonts w:ascii="Times New Roman" w:hAnsi="Times New Roman"/>
                <w:sz w:val="14"/>
                <w:szCs w:val="14"/>
              </w:rPr>
            </w:pPr>
            <w:r w:rsidRPr="00646BD7">
              <w:rPr>
                <w:rFonts w:ascii="Times New Roman" w:hAnsi="Times New Roman"/>
                <w:sz w:val="14"/>
                <w:szCs w:val="14"/>
              </w:rPr>
              <w:t>Использование шейкера</w:t>
            </w:r>
          </w:p>
        </w:tc>
        <w:tc>
          <w:tcPr>
            <w:tcW w:w="157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постановка анализа без использования шейкера</w:t>
            </w:r>
          </w:p>
        </w:tc>
        <w:tc>
          <w:tcPr>
            <w:tcW w:w="124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p>
        </w:tc>
        <w:tc>
          <w:tcPr>
            <w:tcW w:w="1608"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Значение характеристики не может изменяться участником закупки</w:t>
            </w:r>
          </w:p>
        </w:tc>
        <w:tc>
          <w:tcPr>
            <w:tcW w:w="1766"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Обусловлено ограниченным количеством оборудования для проведения ИФА в лаборатории</w:t>
            </w:r>
          </w:p>
        </w:tc>
        <w:tc>
          <w:tcPr>
            <w:tcW w:w="979"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92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199"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64"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742"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51"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r>
      <w:tr w:rsidR="00646BD7" w:rsidRPr="00646BD7" w:rsidTr="00646BD7">
        <w:trPr>
          <w:trHeight w:val="882"/>
        </w:trPr>
        <w:tc>
          <w:tcPr>
            <w:tcW w:w="417"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0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005"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52"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rPr>
                <w:rFonts w:ascii="Times New Roman" w:hAnsi="Times New Roman"/>
                <w:sz w:val="14"/>
                <w:szCs w:val="14"/>
              </w:rPr>
            </w:pPr>
            <w:r w:rsidRPr="00646BD7">
              <w:rPr>
                <w:rFonts w:ascii="Times New Roman" w:hAnsi="Times New Roman"/>
                <w:sz w:val="14"/>
                <w:szCs w:val="14"/>
              </w:rPr>
              <w:t>Форма раствора ТМБ и конъюгата</w:t>
            </w:r>
          </w:p>
        </w:tc>
        <w:tc>
          <w:tcPr>
            <w:tcW w:w="157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готовы к использованию</w:t>
            </w:r>
          </w:p>
        </w:tc>
        <w:tc>
          <w:tcPr>
            <w:tcW w:w="124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p>
        </w:tc>
        <w:tc>
          <w:tcPr>
            <w:tcW w:w="1608"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Значение характеристики не может изменяться участником закупки</w:t>
            </w:r>
          </w:p>
        </w:tc>
        <w:tc>
          <w:tcPr>
            <w:tcW w:w="1766"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Готовность реагентов уменьшает количество операций на подготовительном этапе постановки анализа, что экономит время оператора и снижает риск возникновения ошибок</w:t>
            </w:r>
          </w:p>
        </w:tc>
        <w:tc>
          <w:tcPr>
            <w:tcW w:w="979"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92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199"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64"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742"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51" w:type="dxa"/>
            <w:vMerge/>
            <w:tcBorders>
              <w:left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r>
      <w:tr w:rsidR="00646BD7" w:rsidRPr="00646BD7" w:rsidTr="00646BD7">
        <w:trPr>
          <w:trHeight w:val="660"/>
        </w:trPr>
        <w:tc>
          <w:tcPr>
            <w:tcW w:w="417"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0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005"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552"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rPr>
                <w:rFonts w:ascii="Times New Roman" w:hAnsi="Times New Roman"/>
                <w:sz w:val="14"/>
                <w:szCs w:val="14"/>
              </w:rPr>
            </w:pPr>
            <w:r w:rsidRPr="00646BD7">
              <w:rPr>
                <w:rFonts w:ascii="Times New Roman" w:hAnsi="Times New Roman"/>
                <w:sz w:val="14"/>
                <w:szCs w:val="14"/>
              </w:rPr>
              <w:t>Промывка после инкубации</w:t>
            </w:r>
          </w:p>
        </w:tc>
        <w:tc>
          <w:tcPr>
            <w:tcW w:w="157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одинаковые алгоритмы промывок</w:t>
            </w:r>
          </w:p>
        </w:tc>
        <w:tc>
          <w:tcPr>
            <w:tcW w:w="1247"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p>
        </w:tc>
        <w:tc>
          <w:tcPr>
            <w:tcW w:w="1608"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Значение характеристики не может изменяться участником закупки</w:t>
            </w:r>
          </w:p>
        </w:tc>
        <w:tc>
          <w:tcPr>
            <w:tcW w:w="1766" w:type="dxa"/>
            <w:tcBorders>
              <w:top w:val="nil"/>
              <w:left w:val="nil"/>
              <w:bottom w:val="single" w:sz="4" w:space="0" w:color="000000"/>
              <w:right w:val="single" w:sz="4" w:space="0" w:color="000000"/>
            </w:tcBorders>
            <w:shd w:val="clear" w:color="auto" w:fill="auto"/>
            <w:hideMark/>
          </w:tcPr>
          <w:p w:rsidR="00646BD7" w:rsidRPr="00646BD7" w:rsidRDefault="00646BD7" w:rsidP="00646BD7">
            <w:pPr>
              <w:pStyle w:val="af7"/>
              <w:jc w:val="center"/>
              <w:rPr>
                <w:rFonts w:ascii="Times New Roman" w:hAnsi="Times New Roman"/>
                <w:sz w:val="14"/>
                <w:szCs w:val="14"/>
              </w:rPr>
            </w:pPr>
            <w:r w:rsidRPr="00646BD7">
              <w:rPr>
                <w:rFonts w:ascii="Times New Roman" w:hAnsi="Times New Roman"/>
                <w:sz w:val="14"/>
                <w:szCs w:val="14"/>
              </w:rPr>
              <w:t>Не требуется дополнительная перенастройка оборудования. Снижает риск возникновения ошибки при постановке ИФА-анализа оператором</w:t>
            </w:r>
          </w:p>
        </w:tc>
        <w:tc>
          <w:tcPr>
            <w:tcW w:w="979"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924" w:type="dxa"/>
            <w:vMerge/>
            <w:tcBorders>
              <w:top w:val="nil"/>
              <w:left w:val="single" w:sz="4" w:space="0" w:color="000000"/>
              <w:bottom w:val="single" w:sz="4" w:space="0" w:color="000000"/>
              <w:right w:val="single" w:sz="4" w:space="0" w:color="000000"/>
            </w:tcBorders>
            <w:vAlign w:val="center"/>
            <w:hideMark/>
          </w:tcPr>
          <w:p w:rsidR="00646BD7" w:rsidRPr="00646BD7" w:rsidRDefault="00646BD7" w:rsidP="00646BD7">
            <w:pPr>
              <w:pStyle w:val="af7"/>
              <w:rPr>
                <w:rFonts w:ascii="Times New Roman" w:hAnsi="Times New Roman"/>
                <w:sz w:val="14"/>
                <w:szCs w:val="14"/>
              </w:rPr>
            </w:pPr>
          </w:p>
        </w:tc>
        <w:tc>
          <w:tcPr>
            <w:tcW w:w="1199" w:type="dxa"/>
            <w:vMerge/>
            <w:tcBorders>
              <w:left w:val="single" w:sz="4" w:space="0" w:color="000000"/>
              <w:bottom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64" w:type="dxa"/>
            <w:vMerge/>
            <w:tcBorders>
              <w:left w:val="single" w:sz="4" w:space="0" w:color="000000"/>
              <w:bottom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742" w:type="dxa"/>
            <w:vMerge/>
            <w:tcBorders>
              <w:left w:val="single" w:sz="4" w:space="0" w:color="000000"/>
              <w:bottom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c>
          <w:tcPr>
            <w:tcW w:w="651" w:type="dxa"/>
            <w:vMerge/>
            <w:tcBorders>
              <w:left w:val="single" w:sz="4" w:space="0" w:color="000000"/>
              <w:bottom w:val="single" w:sz="4" w:space="0" w:color="000000"/>
              <w:right w:val="single" w:sz="4" w:space="0" w:color="000000"/>
            </w:tcBorders>
          </w:tcPr>
          <w:p w:rsidR="00646BD7" w:rsidRPr="00646BD7" w:rsidRDefault="00646BD7" w:rsidP="00646BD7">
            <w:pPr>
              <w:pStyle w:val="af7"/>
              <w:rPr>
                <w:rFonts w:ascii="Times New Roman" w:hAnsi="Times New Roman"/>
                <w:sz w:val="14"/>
                <w:szCs w:val="14"/>
              </w:rPr>
            </w:pPr>
          </w:p>
        </w:tc>
      </w:tr>
    </w:tbl>
    <w:p w:rsidR="00646BD7" w:rsidRDefault="00646BD7" w:rsidP="00646BD7">
      <w:pPr>
        <w:spacing w:after="0" w:line="240" w:lineRule="auto"/>
        <w:rPr>
          <w:rFonts w:ascii="Times New Roman" w:eastAsia="Times New Roman" w:hAnsi="Times New Roman" w:cs="Times New Roman"/>
          <w:b/>
          <w:bCs/>
          <w:i/>
          <w:color w:val="000000"/>
          <w:lang w:eastAsia="ru-RU"/>
        </w:rPr>
      </w:pPr>
    </w:p>
    <w:p w:rsidR="00646BD7" w:rsidRDefault="00646BD7" w:rsidP="00646BD7">
      <w:pPr>
        <w:spacing w:after="0" w:line="240" w:lineRule="auto"/>
        <w:rPr>
          <w:rFonts w:ascii="Times New Roman" w:eastAsia="Times New Roman" w:hAnsi="Times New Roman" w:cs="Times New Roman"/>
          <w:b/>
          <w:bCs/>
          <w:i/>
          <w:color w:val="000000"/>
          <w:lang w:eastAsia="ru-RU"/>
        </w:rPr>
      </w:pPr>
      <w:r w:rsidRPr="00AC2061">
        <w:rPr>
          <w:rFonts w:ascii="Times New Roman" w:eastAsia="Times New Roman" w:hAnsi="Times New Roman" w:cs="Times New Roman"/>
          <w:b/>
          <w:bCs/>
          <w:i/>
          <w:color w:val="000000"/>
          <w:lang w:eastAsia="ru-RU"/>
        </w:rPr>
        <w:t>*Дополнительные характеристики определены Заказчиком в соответствии с его потребностями, с учетом специфики деятельности, для обеспечения оказания эффективной медицинской помощи</w:t>
      </w:r>
    </w:p>
    <w:p w:rsidR="00646BD7" w:rsidRDefault="00646BD7" w:rsidP="00646BD7">
      <w:pPr>
        <w:spacing w:after="0" w:line="240" w:lineRule="auto"/>
        <w:rPr>
          <w:rFonts w:ascii="Times New Roman" w:eastAsia="Times New Roman" w:hAnsi="Times New Roman" w:cs="Times New Roman"/>
          <w:b/>
          <w:bCs/>
          <w:i/>
          <w:color w:val="000000"/>
          <w:lang w:eastAsia="ru-RU"/>
        </w:rPr>
      </w:pPr>
    </w:p>
    <w:p w:rsidR="00646BD7" w:rsidRPr="00DE6923" w:rsidRDefault="00646BD7" w:rsidP="00646BD7">
      <w:pPr>
        <w:pStyle w:val="ConsPlusTitle"/>
        <w:jc w:val="left"/>
        <w:rPr>
          <w:rFonts w:ascii="Times New Roman" w:hAnsi="Times New Roman" w:cs="Times New Roman"/>
          <w:i/>
          <w:color w:val="000000"/>
          <w:sz w:val="22"/>
          <w:szCs w:val="22"/>
        </w:rPr>
      </w:pPr>
      <w:r w:rsidRPr="00DE6923">
        <w:rPr>
          <w:rFonts w:ascii="Times New Roman" w:hAnsi="Times New Roman" w:cs="Times New Roman"/>
          <w:i/>
          <w:color w:val="000000"/>
          <w:sz w:val="22"/>
          <w:szCs w:val="22"/>
        </w:rPr>
        <w:t>*</w:t>
      </w:r>
      <w:r w:rsidRPr="00DE6923">
        <w:rPr>
          <w:rFonts w:ascii="Times New Roman" w:hAnsi="Times New Roman" w:cs="Times New Roman"/>
          <w:bCs w:val="0"/>
          <w:i/>
          <w:color w:val="000000"/>
        </w:rPr>
        <w:t>*</w:t>
      </w:r>
      <w:r w:rsidRPr="00DE6923">
        <w:rPr>
          <w:rFonts w:ascii="Times New Roman" w:hAnsi="Times New Roman" w:cs="Times New Roman"/>
          <w:i/>
          <w:color w:val="000000"/>
          <w:sz w:val="22"/>
          <w:szCs w:val="22"/>
        </w:rPr>
        <w:t xml:space="preserve"> В связи с отсутствием сведений о характеристиках товара в описании позиции КТРУ, соответствующей закупаемому товару, Заказчиком определены технические и функциональные характеристики товара согласно потребностями в соответствии с положениями статьи 33 Федерального закона от 05.04.2013 № 44-ФЗ.</w:t>
      </w:r>
    </w:p>
    <w:p w:rsidR="00170252" w:rsidRDefault="00170252" w:rsidP="000820E3">
      <w:pPr>
        <w:rPr>
          <w:rFonts w:ascii="Times New Roman" w:hAnsi="Times New Roman" w:cs="Times New Roman"/>
          <w:b/>
          <w:sz w:val="28"/>
          <w:szCs w:val="28"/>
        </w:rPr>
      </w:pPr>
    </w:p>
    <w:sectPr w:rsidR="00170252" w:rsidSect="00646BD7">
      <w:headerReference w:type="first" r:id="rId18"/>
      <w:footerReference w:type="first" r:id="rId19"/>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3C6A" w:rsidRDefault="00083C6A">
      <w:pPr>
        <w:spacing w:after="0" w:line="240" w:lineRule="auto"/>
      </w:pPr>
      <w:r>
        <w:separator/>
      </w:r>
    </w:p>
  </w:endnote>
  <w:endnote w:type="continuationSeparator" w:id="0">
    <w:p w:rsidR="00083C6A" w:rsidRDefault="00083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150E08" w:rsidRDefault="00150E08">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46BD7" w:rsidRDefault="00150E08">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646BD7" w:rsidRDefault="00646BD7">
        <w:pPr>
          <w:pStyle w:val="ab"/>
          <w:jc w:val="right"/>
        </w:pPr>
        <w:r>
          <w:fldChar w:fldCharType="begin"/>
        </w:r>
        <w:r>
          <w:instrText>PAGE   \* MERGEFORMAT</w:instrText>
        </w:r>
        <w:r>
          <w:fldChar w:fldCharType="separate"/>
        </w:r>
        <w:r w:rsidR="00150E08">
          <w:rPr>
            <w:noProof/>
          </w:rPr>
          <w:t>5</w:t>
        </w:r>
        <w:r>
          <w:fldChar w:fldCharType="end"/>
        </w:r>
      </w:p>
    </w:sdtContent>
  </w:sdt>
  <w:p w:rsidR="00646BD7" w:rsidRDefault="00646BD7">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46BD7" w:rsidRDefault="00150E08">
    <w:pPr>
      <w:pStyle w:val="ab"/>
      <w:jc w:val="right"/>
    </w:pPr>
    <w:sdt>
      <w:sdtPr>
        <w:id w:val="-915003870"/>
        <w:docPartObj>
          <w:docPartGallery w:val="Page Numbers (Bottom of Page)"/>
          <w:docPartUnique/>
        </w:docPartObj>
      </w:sdtPr>
      <w:sdtEndPr/>
      <w:sdtContent>
        <w:r w:rsidR="00646BD7">
          <w:fldChar w:fldCharType="begin"/>
        </w:r>
        <w:r w:rsidR="00646BD7">
          <w:instrText>PAGE   \* MERGEFORMAT</w:instrText>
        </w:r>
        <w:r w:rsidR="00646BD7">
          <w:fldChar w:fldCharType="separate"/>
        </w:r>
        <w:r w:rsidR="00646BD7">
          <w:rPr>
            <w:noProof/>
          </w:rPr>
          <w:t>2</w:t>
        </w:r>
        <w:r w:rsidR="00646BD7">
          <w:fldChar w:fldCharType="end"/>
        </w:r>
      </w:sdtContent>
    </w:sdt>
  </w:p>
  <w:p w:rsidR="00646BD7" w:rsidRDefault="00646BD7"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46BD7" w:rsidRDefault="00150E08">
    <w:pPr>
      <w:pStyle w:val="ab"/>
      <w:jc w:val="right"/>
    </w:pPr>
    <w:sdt>
      <w:sdtPr>
        <w:id w:val="707909240"/>
        <w:docPartObj>
          <w:docPartGallery w:val="Page Numbers (Bottom of Page)"/>
          <w:docPartUnique/>
        </w:docPartObj>
      </w:sdtPr>
      <w:sdtEndPr/>
      <w:sdtContent>
        <w:r w:rsidR="00646BD7">
          <w:fldChar w:fldCharType="begin"/>
        </w:r>
        <w:r w:rsidR="00646BD7">
          <w:instrText>PAGE   \* MERGEFORMAT</w:instrText>
        </w:r>
        <w:r w:rsidR="00646BD7">
          <w:fldChar w:fldCharType="separate"/>
        </w:r>
        <w:r>
          <w:rPr>
            <w:noProof/>
          </w:rPr>
          <w:t>2</w:t>
        </w:r>
        <w:r w:rsidR="00646BD7">
          <w:fldChar w:fldCharType="end"/>
        </w:r>
      </w:sdtContent>
    </w:sdt>
  </w:p>
  <w:p w:rsidR="00646BD7" w:rsidRDefault="00646BD7"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46BD7" w:rsidRDefault="00150E08">
    <w:pPr>
      <w:pStyle w:val="ab"/>
      <w:jc w:val="right"/>
    </w:pPr>
    <w:sdt>
      <w:sdtPr>
        <w:id w:val="-800836465"/>
        <w:docPartObj>
          <w:docPartGallery w:val="Page Numbers (Bottom of Page)"/>
          <w:docPartUnique/>
        </w:docPartObj>
      </w:sdtPr>
      <w:sdtEndPr/>
      <w:sdtContent>
        <w:r w:rsidR="00646BD7">
          <w:fldChar w:fldCharType="begin"/>
        </w:r>
        <w:r w:rsidR="00646BD7">
          <w:instrText>PAGE   \* MERGEFORMAT</w:instrText>
        </w:r>
        <w:r w:rsidR="00646BD7">
          <w:fldChar w:fldCharType="separate"/>
        </w:r>
        <w:r>
          <w:rPr>
            <w:noProof/>
          </w:rPr>
          <w:t>4</w:t>
        </w:r>
        <w:r w:rsidR="00646BD7">
          <w:fldChar w:fldCharType="end"/>
        </w:r>
      </w:sdtContent>
    </w:sdt>
  </w:p>
  <w:p w:rsidR="00646BD7" w:rsidRDefault="00646BD7"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3C6A" w:rsidRDefault="00083C6A">
      <w:pPr>
        <w:spacing w:after="0" w:line="240" w:lineRule="auto"/>
      </w:pPr>
      <w:r>
        <w:separator/>
      </w:r>
    </w:p>
  </w:footnote>
  <w:footnote w:type="continuationSeparator" w:id="0">
    <w:p w:rsidR="00083C6A" w:rsidRDefault="00083C6A">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150E08" w:rsidRDefault="00150E08">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150E08" w:rsidRDefault="00150E08">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150E08" w:rsidRDefault="00150E08">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46BD7" w:rsidRPr="006B0C1A" w:rsidRDefault="00646BD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46BD7" w:rsidRPr="006B0C1A" w:rsidRDefault="00646BD7"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3C6A"/>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0E08"/>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6BD7"/>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B7494"/>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paragraph" w:customStyle="1" w:styleId="ConsPlusTitle">
    <w:name w:val="ConsPlusTitle"/>
    <w:uiPriority w:val="99"/>
    <w:rsid w:val="00646BD7"/>
    <w:pPr>
      <w:widowControl w:val="0"/>
      <w:autoSpaceDE w:val="0"/>
      <w:autoSpaceDN w:val="0"/>
      <w:adjustRightInd w:val="0"/>
      <w:spacing w:after="0" w:line="240" w:lineRule="auto"/>
      <w:jc w:val="center"/>
    </w:pPr>
    <w:rPr>
      <w:rFonts w:ascii="Arial" w:eastAsia="Times New Roman" w:hAnsi="Arial"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49313968">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EAAFB6-74E2-4911-9BBE-D9C1A6C4D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2464</Words>
  <Characters>14047</Characters>
  <Application>Microsoft Office Word</Application>
  <DocSecurity>0</DocSecurity>
  <Lines>117</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2026-11-06T13:24:00Z</dcterms:created>
  <dcterms:modified xsi:type="dcterms:W3CDTF">2026-11-06T13:24:00Z</dcterms:modified>
</cp:coreProperties>
</file>