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23.06.2021 № 21.1-03/606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46C9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материалов для текущих ремонтов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6075FD" w:rsidRPr="00F0107A" w:rsidRDefault="006075FD" w:rsidP="006075FD">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6075FD" w:rsidRDefault="006075FD" w:rsidP="006075FD">
      <w:pPr>
        <w:spacing w:after="0" w:line="240" w:lineRule="auto"/>
        <w:jc w:val="both"/>
        <w:rPr>
          <w:rFonts w:ascii="Times New Roman" w:hAnsi="Times New Roman"/>
          <w:color w:val="000000"/>
          <w:lang w:eastAsia="ru-RU"/>
        </w:rPr>
      </w:pP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838"/>
        <w:gridCol w:w="1728"/>
        <w:gridCol w:w="1424"/>
        <w:gridCol w:w="1031"/>
        <w:gridCol w:w="1031"/>
        <w:gridCol w:w="1031"/>
      </w:tblGrid>
      <w:tr w:rsidR="006075FD" w:rsidRPr="000E0FFD" w:rsidTr="00E11DC3">
        <w:trPr>
          <w:trHeight w:val="20"/>
          <w:jc w:val="center"/>
        </w:trPr>
        <w:tc>
          <w:tcPr>
            <w:tcW w:w="673" w:type="dxa"/>
            <w:vAlign w:val="center"/>
            <w:hideMark/>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6075FD" w:rsidRPr="008F2872"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38" w:type="dxa"/>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728" w:type="dxa"/>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424" w:type="dxa"/>
            <w:shd w:val="clear" w:color="auto" w:fill="FFFFCC"/>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6075FD" w:rsidRPr="000E0FFD" w:rsidRDefault="006075FD" w:rsidP="00E11DC3">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Бескаркасный отбойник - отбойная доска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Предназначена для защиты стен от повреждений. Ударостойкий пластик толщина - не менее 3 мм, ширина - 400 мм; длина - не менее 2000 мм; противоударность и антивандальность - да; антибактериальность - да; не токсичен - да; устойчивость ко всем чистящим и моющим средствам (в их числе и агрессивные и специальные медицинские, вплоть до разведенных кислот) - да; цвет - серый.</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9</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22.23.19.000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Герметик акриловый малярный</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 для герметизации соединений вокруг дверей и окон, подоконников и балюстрад, заполнения зазоров и щелей в стенах и потолках, соединения стыков стен и потолка, маскировки отверстий от шурупов и гвоздей. Возможно окрашивание и шлифовка. Для наружных и внутренних работ. Цвет - белый. Туба объемом - не менее 310 мл.</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23</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20.30.22.170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Грунт бетоноконтакт</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Адгезионная грунтовка, содержащая кварцевый песок. Предназначен для предварительной обработки плотных, не впитывающих влагу оснований внутри помещений: монолитного бетона, бетонных потолков, бетонных блоков. Применяется перед нанесением гипсовых, гипсово-известковых, известково-цементных, цементных штукатурок, шпаклевок, облицовочных клеевых составов, для обработки масляных и алкидных покрытий, которые не поддаются механическому удалению. Готовый к применению состав. Упаковка - не менее 14 кг.</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4</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упак.</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20.30.11.130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Жидкие гвозди</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Предназначены для приклеивания стеновых панелей из дерева, ПВХ, пробки, изоляционных панелей, декоративных деталей, установки подоконников и дверных рам, приклеивания плинтусов. Склеивает стиропор, дерево, металл, ПВХ, керамику, ДСП, гипсокартон, пробку, полистирол, пенопласт, гипс и другие подобные материалы. Для внутренних работ. Первоначальная (в момент приклеивания) сила схватывания не менее 70 кг на м². Цвет - белый, после высыхания – прозрачный. Туба объемом - не менее 280 мл.</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12</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20.52.10.190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C850C1" w:rsidP="00E11DC3">
            <w:pPr>
              <w:spacing w:after="0" w:line="240" w:lineRule="auto"/>
              <w:rPr>
                <w:rFonts w:ascii="Times New Roman" w:hAnsi="Times New Roman"/>
              </w:rPr>
            </w:pPr>
            <w:r w:rsidRPr="00C850C1">
              <w:rPr>
                <w:rFonts w:ascii="Times New Roman" w:hAnsi="Times New Roman"/>
              </w:rPr>
              <w:t>Клей поливинилацетатный</w:t>
            </w:r>
          </w:p>
        </w:tc>
        <w:tc>
          <w:tcPr>
            <w:tcW w:w="4961" w:type="dxa"/>
          </w:tcPr>
          <w:p w:rsidR="006075FD" w:rsidRDefault="006075FD" w:rsidP="00E11DC3">
            <w:pPr>
              <w:spacing w:after="0" w:line="240" w:lineRule="auto"/>
              <w:rPr>
                <w:rFonts w:ascii="Times New Roman" w:hAnsi="Times New Roman"/>
              </w:rPr>
            </w:pPr>
            <w:r w:rsidRPr="00BC225D">
              <w:rPr>
                <w:rFonts w:ascii="Times New Roman" w:hAnsi="Times New Roman"/>
              </w:rPr>
              <w:t xml:space="preserve">Вид - обойный; форма выпуска - жидкость. </w:t>
            </w:r>
            <w:r>
              <w:rPr>
                <w:rFonts w:ascii="Times New Roman" w:hAnsi="Times New Roman"/>
                <w:b/>
                <w:i/>
              </w:rPr>
              <w:t>Дополнительные характеристики:</w:t>
            </w:r>
            <w:r w:rsidRPr="00BC225D">
              <w:rPr>
                <w:rFonts w:ascii="Times New Roman" w:hAnsi="Times New Roman"/>
                <w:b/>
                <w:i/>
              </w:rPr>
              <w:t>*</w:t>
            </w:r>
          </w:p>
          <w:p w:rsidR="006075FD" w:rsidRPr="00BC225D" w:rsidRDefault="006075FD" w:rsidP="00E11DC3">
            <w:pPr>
              <w:spacing w:after="0" w:line="240" w:lineRule="auto"/>
              <w:rPr>
                <w:rFonts w:ascii="Times New Roman" w:hAnsi="Times New Roman"/>
              </w:rPr>
            </w:pPr>
            <w:r w:rsidRPr="00BC225D">
              <w:rPr>
                <w:rFonts w:ascii="Times New Roman" w:hAnsi="Times New Roman"/>
              </w:rPr>
              <w:t>Готовый к использованию клей для приклеивания флизелиновых,  стеклообоев и стеклохолстов, текстильных обоев и обоев под покраску, не боится влаги в процессе эксплуатации. Расход клея: не более 200 г на м²; водостойкий - да; упаковка - не менее 10 кг.</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40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кг</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20.52.10.190-00000008</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Лента малярная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Длина - не более 50 м; ширина - не менее 50 мм; цвет - белый.</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29</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17.29.19.190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Лента углозащитная с металлическими вставками</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Применяется для защиты наружных и внутренних углов конструкций из гипсокартонных листов. Усиливает швы между ГКЛ, предотвращает появление трещин. Применение - для внутренних работ; длина - не менее 30 м; тип товара - лента углозащитная; ширина - не менее 50 мм; цвет - белый. </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17.29.19.190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Линолеум </w:t>
            </w:r>
          </w:p>
        </w:tc>
        <w:tc>
          <w:tcPr>
            <w:tcW w:w="4961" w:type="dxa"/>
          </w:tcPr>
          <w:p w:rsidR="006075FD" w:rsidRDefault="006075FD" w:rsidP="00E11DC3">
            <w:pPr>
              <w:spacing w:after="0" w:line="240" w:lineRule="auto"/>
              <w:rPr>
                <w:rFonts w:ascii="Times New Roman" w:hAnsi="Times New Roman"/>
              </w:rPr>
            </w:pPr>
            <w:r w:rsidRPr="00BC225D">
              <w:rPr>
                <w:rFonts w:ascii="Times New Roman" w:hAnsi="Times New Roman"/>
              </w:rPr>
              <w:t>Класс износостойкости: 34; основа: нетканная; толщина изделия: ≥ 1  и  ≤ 2 мм; ширина: &gt; 2  и  ≤ 3 м.</w:t>
            </w:r>
          </w:p>
          <w:p w:rsidR="006075FD" w:rsidRPr="00BC225D" w:rsidRDefault="006075FD" w:rsidP="00E11DC3">
            <w:pPr>
              <w:spacing w:after="0" w:line="240" w:lineRule="auto"/>
              <w:rPr>
                <w:rFonts w:ascii="Times New Roman" w:hAnsi="Times New Roman"/>
                <w:b/>
                <w:i/>
              </w:rPr>
            </w:pPr>
            <w:r w:rsidRPr="00BC225D">
              <w:rPr>
                <w:rFonts w:ascii="Times New Roman" w:hAnsi="Times New Roman"/>
                <w:b/>
                <w:i/>
              </w:rPr>
              <w:t>Дополнительные характеристики</w:t>
            </w:r>
            <w:r>
              <w:rPr>
                <w:rFonts w:ascii="Times New Roman" w:hAnsi="Times New Roman"/>
                <w:b/>
                <w:i/>
              </w:rPr>
              <w:t>:</w:t>
            </w:r>
            <w:r w:rsidRPr="00BC225D">
              <w:rPr>
                <w:rFonts w:ascii="Times New Roman" w:hAnsi="Times New Roman"/>
                <w:b/>
                <w:i/>
              </w:rPr>
              <w:t>*</w:t>
            </w:r>
          </w:p>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 для использования в коммерческих помещениях с высокими эксплуатационными нагрузками, например: гостиницы, школы, больницы. Так же рекомендован для использования на путях пожарной эвакуации в общеобразовательных учреждениях: детских садах, школах, гимназиях, а также медицинских клиниках и больницах. Тип линолеума - коммерческий; толщина защитного слоя - не менее 0,7 мм; основа - вспененный винил; состав - гетерогенный; истираемость - не менее 25 г на м²; класс пожарной опасности - КМ 2; тип дизайна - крошка; цвет - серый. Поставляется единым рулоном.</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60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м²</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22.23.15.000-00000004</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Очиститель пены монтажной</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 для очищения незатвердевшей пены с клапанов пистолетов для монтажной пены, для удаления свежих пятен пен и герметиков. Обезжиривает стальные поверхности перед использованием силиконов и полиуретанов. Баллон объемом - не менее 500 мл.</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4</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20.30.22.220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Пена монтажная профессиональная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Однокомпонентная полиуретановая пена, расширяющаяся и застывающая под воздействием влаги содержащейся в воздухе. Применяется при температуре воздуха и обрабатываемых поверхностей от -20 до +30 °C (параметры не требуют конкретизации). Пена применяется при установке окон и дверей, герметизации отверстий, щелей, стыков, герметизации мест соединения кровельных конструкций и изоляционных материалов, герметизации проходов вокруг труб. Низкое вторичное расширение не позволяет деформировать конструкцию. При применении не выделяет вредных паров и безвредна для системы дыхания. Туба объемом - не менее 750 мл.</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14</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20.30.22.170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Плитка керамическая</w:t>
            </w:r>
          </w:p>
        </w:tc>
        <w:tc>
          <w:tcPr>
            <w:tcW w:w="4961" w:type="dxa"/>
          </w:tcPr>
          <w:p w:rsidR="006075FD" w:rsidRDefault="006075FD" w:rsidP="00E11DC3">
            <w:pPr>
              <w:spacing w:after="0" w:line="240" w:lineRule="auto"/>
              <w:rPr>
                <w:rFonts w:ascii="Times New Roman" w:hAnsi="Times New Roman"/>
              </w:rPr>
            </w:pPr>
            <w:r w:rsidRPr="00BC225D">
              <w:rPr>
                <w:rFonts w:ascii="Times New Roman" w:hAnsi="Times New Roman"/>
              </w:rPr>
              <w:t xml:space="preserve">Вид - керамический гранит (керамогранит); длина - ≥ 400  и  &lt; 450 мм; область применения - для покрытия полов в помещениях жилых, общественных и промышленных зданий; толщина - ≥ 8  и  &lt; 10 мм; ширина - ≥ 400  и  &lt; 450 мм. </w:t>
            </w:r>
            <w:r w:rsidRPr="00BC225D">
              <w:rPr>
                <w:rFonts w:ascii="Times New Roman" w:hAnsi="Times New Roman"/>
                <w:b/>
                <w:i/>
              </w:rPr>
              <w:t>Дополнительные характеристики</w:t>
            </w:r>
            <w:r>
              <w:rPr>
                <w:rFonts w:ascii="Times New Roman" w:hAnsi="Times New Roman"/>
                <w:b/>
                <w:i/>
              </w:rPr>
              <w:t>:</w:t>
            </w:r>
            <w:r w:rsidRPr="00BC225D">
              <w:rPr>
                <w:rFonts w:ascii="Times New Roman" w:hAnsi="Times New Roman"/>
                <w:b/>
                <w:i/>
              </w:rPr>
              <w:t>*</w:t>
            </w:r>
            <w:r w:rsidRPr="00BC225D">
              <w:rPr>
                <w:rFonts w:ascii="Times New Roman" w:hAnsi="Times New Roman"/>
              </w:rPr>
              <w:t xml:space="preserve"> </w:t>
            </w:r>
          </w:p>
          <w:p w:rsidR="006075FD" w:rsidRPr="00BC225D" w:rsidRDefault="006075FD" w:rsidP="00E11DC3">
            <w:pPr>
              <w:spacing w:after="0" w:line="240" w:lineRule="auto"/>
              <w:rPr>
                <w:rFonts w:ascii="Times New Roman" w:hAnsi="Times New Roman"/>
              </w:rPr>
            </w:pPr>
            <w:r w:rsidRPr="00BC225D">
              <w:rPr>
                <w:rFonts w:ascii="Times New Roman" w:hAnsi="Times New Roman"/>
              </w:rPr>
              <w:t>Цвет - бежевый; поверхность - матовая; рисунок - нет.</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137</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м²</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23.31.10.120-00000003</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Плитка керамическая</w:t>
            </w:r>
          </w:p>
        </w:tc>
        <w:tc>
          <w:tcPr>
            <w:tcW w:w="4961" w:type="dxa"/>
          </w:tcPr>
          <w:p w:rsidR="006075FD" w:rsidRDefault="006075FD" w:rsidP="00E11DC3">
            <w:pPr>
              <w:spacing w:after="0" w:line="240" w:lineRule="auto"/>
              <w:rPr>
                <w:rFonts w:ascii="Times New Roman" w:hAnsi="Times New Roman"/>
              </w:rPr>
            </w:pPr>
            <w:r w:rsidRPr="00BC225D">
              <w:rPr>
                <w:rFonts w:ascii="Times New Roman" w:hAnsi="Times New Roman"/>
              </w:rPr>
              <w:t xml:space="preserve">Вид - керамический гранит (керамогранит); длина - ≥ 600  и  &lt; 650 мм; область применения - для покрытия полов в помещениях жилых, общественных и промышленных зданий; толщина - ≥ 10  и  &lt; 12 мм; ширина -  ≥ 600  и  &lt; 650 мм. </w:t>
            </w:r>
          </w:p>
          <w:p w:rsidR="006075FD" w:rsidRDefault="006075FD" w:rsidP="00E11DC3">
            <w:pPr>
              <w:spacing w:after="0" w:line="240" w:lineRule="auto"/>
              <w:rPr>
                <w:rFonts w:ascii="Times New Roman" w:hAnsi="Times New Roman"/>
                <w:b/>
                <w:i/>
              </w:rPr>
            </w:pPr>
            <w:r w:rsidRPr="00BC225D">
              <w:rPr>
                <w:rFonts w:ascii="Times New Roman" w:hAnsi="Times New Roman"/>
                <w:b/>
                <w:i/>
              </w:rPr>
              <w:t>Дополнительные характеристики:*</w:t>
            </w:r>
          </w:p>
          <w:p w:rsidR="006075FD" w:rsidRPr="00BC225D" w:rsidRDefault="006075FD" w:rsidP="00E11DC3">
            <w:pPr>
              <w:spacing w:after="0" w:line="240" w:lineRule="auto"/>
              <w:rPr>
                <w:rFonts w:ascii="Times New Roman" w:hAnsi="Times New Roman"/>
              </w:rPr>
            </w:pPr>
            <w:r w:rsidRPr="00BC225D">
              <w:rPr>
                <w:rFonts w:ascii="Times New Roman" w:hAnsi="Times New Roman"/>
                <w:b/>
                <w:i/>
              </w:rPr>
              <w:t xml:space="preserve"> </w:t>
            </w:r>
            <w:r w:rsidRPr="00BC225D">
              <w:rPr>
                <w:rFonts w:ascii="Times New Roman" w:hAnsi="Times New Roman"/>
              </w:rPr>
              <w:t>Цвет - бежевый; поверхность - матовая; рисунок - камень.</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240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м²</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23.31.10.120-00000003</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Подвес к подвесному потолку 0,6 м</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 для крепления каркаса подвесного потолка к несущему основанию. Состоит из двух крепежных спиц длиной по 30 см и соединяющего их зажима. Толщина спицы не менее 3 мм. Позволяет опустить потолок максимум на 0,6 м. Материал - сталь</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304</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24.33.12.000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Профиль к подвесному потолку 0,6 м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Предназначен для создания каркаса подвесного потолка с распределенной нагрузкой не более 13,5 кг на м². Внешняя часть профиля окрашена в белый цвет; ширина: 24 мм, высота: 29 мм, длина: 600 мм; материал - сталь. Имеет группу горючести НГ. </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607</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24.33.12.000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Профиль к подвесному потолку 1,2 м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Предназначен для создания каркаса подвесного потолка с распределенной нагрузкой не более 13,5 кг/кв.м. Внешняя часть профиля окрашена в белый цвет; ширина: 24 мм, высота: 29 мм, длина: 1200 мм; материал - сталь. Имеет группу горючести НГ. </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607</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24.33.12.000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Профиль к подвесному потолку 3,7 м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Предназначен для создания каркаса подвесного потолка с распределенной нагрузкой не более 13,5  кг на м². Внешняя часть профиля окрашена в белый цвет; ширина 24 мм, высота 38 мм, длина 3700 мм; материал - сталь. Имеет группу горючести - НГ. </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100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24.33.12.000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Профиль угловой универсальный PL 19х24х3000 мм</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Предназначен для декоративного оформления мест примыканий подвесного потолка к стенам и колоннам. Внешняя часть профиля окрашена в белый цвет. Размер - 19х24 мм; длина - 3000 мм, толщина - не менее 0,23 мм.</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120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 xml:space="preserve">24.33.12.000 </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 xml:space="preserve">Стеклохолст Паутинка </w:t>
            </w:r>
          </w:p>
        </w:tc>
        <w:tc>
          <w:tcPr>
            <w:tcW w:w="4961"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Материал - стекловолокно; размер рулона - не менее 1,06х50 м; плотность - не менее 40 г на м²; положение рисунка - без подгона; раппорт - нет; светостойкость - высокая; уход и водостойкость - устойчивые к чистке трением; фактура - гладкая; цвет - белый; класс пожарной безопасности - не ниже КМ1.</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10</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23.14.12.120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r w:rsidR="006075FD" w:rsidRPr="000E0FFD" w:rsidTr="00E11DC3">
        <w:trPr>
          <w:trHeight w:val="20"/>
          <w:jc w:val="center"/>
        </w:trPr>
        <w:tc>
          <w:tcPr>
            <w:tcW w:w="673" w:type="dxa"/>
          </w:tcPr>
          <w:p w:rsidR="006075FD" w:rsidRPr="000E0FFD" w:rsidRDefault="006075FD" w:rsidP="006075F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6075FD" w:rsidRPr="00BC225D" w:rsidRDefault="006075FD" w:rsidP="00E11DC3">
            <w:pPr>
              <w:spacing w:after="0" w:line="240" w:lineRule="auto"/>
              <w:rPr>
                <w:rFonts w:ascii="Times New Roman" w:hAnsi="Times New Roman"/>
              </w:rPr>
            </w:pPr>
            <w:r w:rsidRPr="00BC225D">
              <w:rPr>
                <w:rFonts w:ascii="Times New Roman" w:hAnsi="Times New Roman"/>
              </w:rPr>
              <w:t>Шпаклевка готовая</w:t>
            </w:r>
          </w:p>
        </w:tc>
        <w:tc>
          <w:tcPr>
            <w:tcW w:w="4961" w:type="dxa"/>
          </w:tcPr>
          <w:p w:rsidR="006075FD" w:rsidRPr="00BC225D" w:rsidRDefault="00C850C1" w:rsidP="00E11DC3">
            <w:pPr>
              <w:spacing w:after="0" w:line="240" w:lineRule="auto"/>
              <w:rPr>
                <w:rFonts w:ascii="Times New Roman" w:hAnsi="Times New Roman"/>
              </w:rPr>
            </w:pPr>
            <w:r w:rsidRPr="00C850C1">
              <w:rPr>
                <w:rFonts w:ascii="Times New Roman" w:hAnsi="Times New Roman"/>
              </w:rPr>
              <w:t>Готовая полимерная шпаклевка, предназначена для профессиональной финишной отделки в сухих помещениях. Применяется для финишного шпаклевания листовых материалов, пазогребневых плит, окрашенных поверхностей, стеклохолста. Толщина слоя - не более 2 мм; цвет: белый; объем: 15-17 л; вес упаковки: 24-28 кг.</w:t>
            </w:r>
          </w:p>
        </w:tc>
        <w:tc>
          <w:tcPr>
            <w:tcW w:w="709"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8</w:t>
            </w:r>
          </w:p>
        </w:tc>
        <w:tc>
          <w:tcPr>
            <w:tcW w:w="83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шт.</w:t>
            </w:r>
          </w:p>
        </w:tc>
        <w:tc>
          <w:tcPr>
            <w:tcW w:w="1728" w:type="dxa"/>
          </w:tcPr>
          <w:p w:rsidR="006075FD" w:rsidRPr="00BC225D" w:rsidRDefault="006075FD" w:rsidP="00E11DC3">
            <w:pPr>
              <w:spacing w:after="0" w:line="240" w:lineRule="auto"/>
              <w:jc w:val="center"/>
              <w:rPr>
                <w:rFonts w:ascii="Times New Roman" w:hAnsi="Times New Roman"/>
                <w:lang w:eastAsia="ru-RU"/>
              </w:rPr>
            </w:pPr>
            <w:r w:rsidRPr="00BC225D">
              <w:rPr>
                <w:rFonts w:ascii="Times New Roman" w:hAnsi="Times New Roman"/>
                <w:lang w:eastAsia="ru-RU"/>
              </w:rPr>
              <w:t>20.30.22.120</w:t>
            </w:r>
          </w:p>
        </w:tc>
        <w:tc>
          <w:tcPr>
            <w:tcW w:w="1424"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c>
          <w:tcPr>
            <w:tcW w:w="1031" w:type="dxa"/>
            <w:shd w:val="clear" w:color="auto" w:fill="FFFFCC"/>
          </w:tcPr>
          <w:p w:rsidR="006075FD" w:rsidRPr="000E0FFD" w:rsidRDefault="006075FD" w:rsidP="00E11DC3">
            <w:pPr>
              <w:spacing w:after="0" w:line="240" w:lineRule="auto"/>
              <w:jc w:val="center"/>
              <w:rPr>
                <w:rFonts w:ascii="Times New Roman" w:hAnsi="Times New Roman"/>
                <w:lang w:eastAsia="ru-RU"/>
              </w:rPr>
            </w:pPr>
          </w:p>
        </w:tc>
      </w:tr>
    </w:tbl>
    <w:p w:rsidR="006075FD" w:rsidRDefault="006075FD" w:rsidP="006075FD">
      <w:pPr>
        <w:spacing w:after="0" w:line="240" w:lineRule="auto"/>
        <w:ind w:firstLine="709"/>
        <w:jc w:val="both"/>
        <w:rPr>
          <w:rFonts w:ascii="Times New Roman" w:hAnsi="Times New Roman"/>
          <w:i/>
          <w:sz w:val="28"/>
          <w:szCs w:val="28"/>
          <w:highlight w:val="cyan"/>
        </w:rPr>
      </w:pPr>
      <w:bookmarkStart w:id="23" w:name="_Ref518475891"/>
    </w:p>
    <w:p w:rsidR="00170252" w:rsidRDefault="006075FD" w:rsidP="006075FD">
      <w:pPr>
        <w:spacing w:after="0" w:line="240" w:lineRule="auto"/>
        <w:ind w:firstLine="709"/>
        <w:jc w:val="both"/>
        <w:rPr>
          <w:rFonts w:ascii="Times New Roman" w:hAnsi="Times New Roman" w:cs="Times New Roman"/>
          <w:b/>
          <w:sz w:val="28"/>
          <w:szCs w:val="28"/>
        </w:rPr>
      </w:pPr>
      <w:r w:rsidRPr="00484426">
        <w:rPr>
          <w:rFonts w:ascii="Times New Roman" w:hAnsi="Times New Roman"/>
          <w:i/>
          <w:sz w:val="28"/>
          <w:szCs w:val="28"/>
          <w:highlight w:val="cyan"/>
        </w:rPr>
        <w:t>*Дополнительные характеристики определены Заказчиком в соответствии с его потребностями, для обеспечения высокого качества работ</w:t>
      </w:r>
      <w:r>
        <w:rPr>
          <w:rFonts w:ascii="Times New Roman" w:hAnsi="Times New Roman"/>
          <w:i/>
          <w:sz w:val="28"/>
          <w:szCs w:val="28"/>
          <w:highlight w:val="cyan"/>
        </w:rPr>
        <w:t>.</w:t>
      </w:r>
      <w:bookmarkEnd w:id="23"/>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89" w:rsidRDefault="00866F89">
      <w:pPr>
        <w:spacing w:after="0" w:line="240" w:lineRule="auto"/>
      </w:pPr>
      <w:r>
        <w:separator/>
      </w:r>
    </w:p>
  </w:endnote>
  <w:endnote w:type="continuationSeparator" w:id="0">
    <w:p w:rsidR="00866F89" w:rsidRDefault="0086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46C9E" w:rsidRDefault="00746C9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46C9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46C9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46C9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46C9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89" w:rsidRDefault="00866F89">
      <w:pPr>
        <w:spacing w:after="0" w:line="240" w:lineRule="auto"/>
      </w:pPr>
      <w:r>
        <w:separator/>
      </w:r>
    </w:p>
  </w:footnote>
  <w:footnote w:type="continuationSeparator" w:id="0">
    <w:p w:rsidR="00866F89" w:rsidRDefault="00866F8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46C9E" w:rsidRDefault="00746C9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46C9E" w:rsidRDefault="00746C9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46C9E" w:rsidRDefault="00746C9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021DC" w:rsidRDefault="00746C9E"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912"/>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75FD"/>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6C9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6F89"/>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50C1"/>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E683-1C7C-435E-86D9-8630EF2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2021-06-23T08:05:00Z</dcterms:created>
  <dcterms:modified xsi:type="dcterms:W3CDTF">2021-06-23T08:05:00Z</dcterms:modified>
</cp:coreProperties>
</file>