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05-07/314</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EA43AB" w:rsidP="00637F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 прилагаемой формы описания товара/работы/услуги</w:t>
            </w:r>
            <w:r>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sz w:val="24"/>
                <w:szCs w:val="24"/>
              </w:rPr>
              <w:t>sig</w:t>
            </w:r>
            <w:proofErr w:type="spellEnd"/>
            <w:r>
              <w:rPr>
                <w:rFonts w:ascii="Times New Roman" w:hAnsi="Times New Roman"/>
                <w:sz w:val="24"/>
                <w:szCs w:val="24"/>
              </w:rPr>
              <w:t xml:space="preserve">”) по следующему адресу: </w:t>
            </w:r>
            <w:r>
              <w:rPr>
                <w:rFonts w:ascii="Times New Roman" w:eastAsia="Times New Roman" w:hAnsi="Times New Roman" w:cs="Times New Roman"/>
                <w:b/>
                <w:sz w:val="24"/>
                <w:szCs w:val="24"/>
              </w:rPr>
              <w:t>4399541@niioncologii.ru</w:t>
            </w:r>
            <w:r>
              <w:rPr>
                <w:rFonts w:ascii="Times New Roman" w:hAnsi="Times New Roman"/>
                <w:b/>
                <w:sz w:val="24"/>
                <w:szCs w:val="24"/>
              </w:rPr>
              <w:t>.</w:t>
            </w:r>
            <w:bookmarkStart w:id="3" w:name="_GoBack"/>
            <w:bookmarkEnd w:id="3"/>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2148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5"/>
        <w:gridCol w:w="899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патологоанатомического отделения с прозектурой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21.20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12"/>
        <w:tblW w:w="0" w:type="auto"/>
        <w:tblLook w:val="04A0" w:firstRow="1" w:lastRow="0" w:firstColumn="1" w:lastColumn="0" w:noHBand="0" w:noVBand="1"/>
      </w:tblPr>
      <w:tblGrid>
        <w:gridCol w:w="655"/>
        <w:gridCol w:w="2930"/>
        <w:gridCol w:w="4461"/>
        <w:gridCol w:w="814"/>
        <w:gridCol w:w="725"/>
        <w:gridCol w:w="1556"/>
        <w:gridCol w:w="1901"/>
        <w:gridCol w:w="1360"/>
        <w:gridCol w:w="1360"/>
      </w:tblGrid>
      <w:tr w:rsidR="009D427F" w:rsidRPr="009D427F" w:rsidTr="00B4217E">
        <w:trPr>
          <w:trHeight w:val="847"/>
        </w:trPr>
        <w:tc>
          <w:tcPr>
            <w:tcW w:w="655" w:type="dxa"/>
            <w:vAlign w:val="center"/>
          </w:tcPr>
          <w:p w:rsidR="009D427F" w:rsidRPr="009D427F" w:rsidRDefault="00B4217E" w:rsidP="009D427F">
            <w:pPr>
              <w:rPr>
                <w:rFonts w:ascii="Times New Roman" w:hAnsi="Times New Roman"/>
                <w:b/>
                <w:sz w:val="24"/>
                <w:szCs w:val="24"/>
              </w:rPr>
            </w:pPr>
            <w:r w:rsidRPr="00B4217E">
              <w:rPr>
                <w:rFonts w:ascii="Times New Roman" w:hAnsi="Times New Roman"/>
                <w:b/>
                <w:sz w:val="24"/>
                <w:szCs w:val="24"/>
              </w:rPr>
              <w:t>№</w:t>
            </w:r>
          </w:p>
        </w:tc>
        <w:tc>
          <w:tcPr>
            <w:tcW w:w="2555" w:type="dxa"/>
            <w:vAlign w:val="center"/>
          </w:tcPr>
          <w:p w:rsidR="009D427F" w:rsidRPr="009D427F" w:rsidRDefault="009D427F" w:rsidP="009D427F">
            <w:pPr>
              <w:rPr>
                <w:rFonts w:ascii="Times New Roman" w:hAnsi="Times New Roman"/>
                <w:b/>
                <w:sz w:val="24"/>
                <w:szCs w:val="24"/>
              </w:rPr>
            </w:pPr>
            <w:r w:rsidRPr="009D427F">
              <w:rPr>
                <w:rFonts w:ascii="Times New Roman" w:hAnsi="Times New Roman"/>
                <w:b/>
                <w:sz w:val="24"/>
                <w:szCs w:val="24"/>
              </w:rPr>
              <w:t>Наименование товара</w:t>
            </w:r>
          </w:p>
        </w:tc>
        <w:tc>
          <w:tcPr>
            <w:tcW w:w="4461" w:type="dxa"/>
            <w:vAlign w:val="center"/>
          </w:tcPr>
          <w:p w:rsidR="009D427F" w:rsidRPr="009D427F" w:rsidRDefault="009D427F" w:rsidP="009D427F">
            <w:pPr>
              <w:rPr>
                <w:rFonts w:ascii="Times New Roman" w:hAnsi="Times New Roman"/>
                <w:b/>
                <w:sz w:val="24"/>
                <w:szCs w:val="24"/>
              </w:rPr>
            </w:pPr>
            <w:r w:rsidRPr="009D427F">
              <w:rPr>
                <w:rFonts w:ascii="Times New Roman" w:hAnsi="Times New Roman"/>
                <w:b/>
                <w:sz w:val="24"/>
                <w:szCs w:val="24"/>
              </w:rPr>
              <w:t>Технические характеристики товара</w:t>
            </w:r>
          </w:p>
        </w:tc>
        <w:tc>
          <w:tcPr>
            <w:tcW w:w="788" w:type="dxa"/>
            <w:vAlign w:val="center"/>
          </w:tcPr>
          <w:p w:rsidR="009D427F" w:rsidRPr="009D427F" w:rsidRDefault="009D427F" w:rsidP="009D427F">
            <w:pPr>
              <w:rPr>
                <w:rFonts w:ascii="Times New Roman" w:hAnsi="Times New Roman"/>
                <w:b/>
                <w:sz w:val="24"/>
                <w:szCs w:val="24"/>
              </w:rPr>
            </w:pPr>
            <w:r w:rsidRPr="009D427F">
              <w:rPr>
                <w:rFonts w:ascii="Times New Roman" w:hAnsi="Times New Roman"/>
                <w:b/>
                <w:sz w:val="24"/>
                <w:szCs w:val="24"/>
              </w:rPr>
              <w:t>Ед. изм.</w:t>
            </w:r>
          </w:p>
        </w:tc>
        <w:tc>
          <w:tcPr>
            <w:tcW w:w="632" w:type="dxa"/>
            <w:vAlign w:val="center"/>
          </w:tcPr>
          <w:p w:rsidR="009D427F" w:rsidRPr="009D427F" w:rsidRDefault="009D427F" w:rsidP="009D427F">
            <w:pPr>
              <w:rPr>
                <w:rFonts w:ascii="Times New Roman" w:hAnsi="Times New Roman"/>
                <w:b/>
                <w:sz w:val="24"/>
                <w:szCs w:val="24"/>
              </w:rPr>
            </w:pPr>
            <w:r w:rsidRPr="009D427F">
              <w:rPr>
                <w:rFonts w:ascii="Times New Roman" w:hAnsi="Times New Roman"/>
                <w:b/>
                <w:sz w:val="24"/>
                <w:szCs w:val="24"/>
              </w:rPr>
              <w:t>Кол-во</w:t>
            </w:r>
          </w:p>
        </w:tc>
        <w:tc>
          <w:tcPr>
            <w:tcW w:w="1454" w:type="dxa"/>
            <w:vAlign w:val="center"/>
          </w:tcPr>
          <w:p w:rsidR="009D427F" w:rsidRPr="009D427F" w:rsidRDefault="009D427F" w:rsidP="009D427F">
            <w:pPr>
              <w:rPr>
                <w:rFonts w:ascii="Times New Roman" w:hAnsi="Times New Roman"/>
                <w:b/>
                <w:sz w:val="24"/>
                <w:szCs w:val="24"/>
              </w:rPr>
            </w:pPr>
            <w:r w:rsidRPr="009D427F">
              <w:rPr>
                <w:rFonts w:ascii="Times New Roman" w:hAnsi="Times New Roman"/>
                <w:b/>
                <w:sz w:val="24"/>
                <w:szCs w:val="24"/>
              </w:rPr>
              <w:t>ОКПД2/</w:t>
            </w:r>
          </w:p>
          <w:p w:rsidR="009D427F" w:rsidRPr="009D427F" w:rsidRDefault="009D427F" w:rsidP="009D427F">
            <w:pPr>
              <w:rPr>
                <w:rFonts w:ascii="Times New Roman" w:hAnsi="Times New Roman"/>
                <w:b/>
                <w:sz w:val="24"/>
                <w:szCs w:val="24"/>
              </w:rPr>
            </w:pPr>
            <w:r w:rsidRPr="009D427F">
              <w:rPr>
                <w:rFonts w:ascii="Times New Roman" w:hAnsi="Times New Roman"/>
                <w:b/>
                <w:sz w:val="24"/>
                <w:szCs w:val="24"/>
              </w:rPr>
              <w:t>КТРУ</w:t>
            </w:r>
          </w:p>
        </w:tc>
        <w:tc>
          <w:tcPr>
            <w:tcW w:w="1711" w:type="dxa"/>
            <w:shd w:val="clear" w:color="auto" w:fill="FFFF99"/>
            <w:vAlign w:val="center"/>
          </w:tcPr>
          <w:p w:rsidR="009D427F" w:rsidRPr="009D427F" w:rsidRDefault="009D427F" w:rsidP="009D427F">
            <w:pPr>
              <w:rPr>
                <w:rFonts w:ascii="Times New Roman" w:hAnsi="Times New Roman"/>
                <w:b/>
                <w:sz w:val="24"/>
                <w:szCs w:val="24"/>
              </w:rPr>
            </w:pPr>
            <w:r w:rsidRPr="009D427F">
              <w:rPr>
                <w:rFonts w:ascii="Times New Roman" w:hAnsi="Times New Roman"/>
                <w:b/>
                <w:sz w:val="24"/>
                <w:szCs w:val="24"/>
              </w:rPr>
              <w:t>Страна происхождения</w:t>
            </w:r>
          </w:p>
        </w:tc>
        <w:tc>
          <w:tcPr>
            <w:tcW w:w="1360" w:type="dxa"/>
            <w:shd w:val="clear" w:color="auto" w:fill="FFFF99"/>
            <w:vAlign w:val="center"/>
          </w:tcPr>
          <w:p w:rsidR="009D427F" w:rsidRPr="009D427F" w:rsidRDefault="009D427F" w:rsidP="009D427F">
            <w:pPr>
              <w:rPr>
                <w:rFonts w:ascii="Times New Roman" w:hAnsi="Times New Roman"/>
                <w:b/>
                <w:sz w:val="24"/>
                <w:szCs w:val="24"/>
              </w:rPr>
            </w:pPr>
            <w:r w:rsidRPr="009D427F">
              <w:rPr>
                <w:rFonts w:ascii="Times New Roman" w:hAnsi="Times New Roman"/>
                <w:b/>
                <w:sz w:val="24"/>
                <w:szCs w:val="24"/>
              </w:rPr>
              <w:t xml:space="preserve">Цена за </w:t>
            </w:r>
            <w:proofErr w:type="spellStart"/>
            <w:r w:rsidRPr="009D427F">
              <w:rPr>
                <w:rFonts w:ascii="Times New Roman" w:hAnsi="Times New Roman"/>
                <w:b/>
                <w:sz w:val="24"/>
                <w:szCs w:val="24"/>
              </w:rPr>
              <w:t>ед.с</w:t>
            </w:r>
            <w:proofErr w:type="spellEnd"/>
            <w:r w:rsidRPr="009D427F">
              <w:rPr>
                <w:rFonts w:ascii="Times New Roman" w:hAnsi="Times New Roman"/>
                <w:b/>
                <w:sz w:val="24"/>
                <w:szCs w:val="24"/>
              </w:rPr>
              <w:t xml:space="preserve"> НДС (</w:t>
            </w:r>
            <w:proofErr w:type="spellStart"/>
            <w:r w:rsidRPr="009D427F">
              <w:rPr>
                <w:rFonts w:ascii="Times New Roman" w:hAnsi="Times New Roman"/>
                <w:b/>
                <w:sz w:val="24"/>
                <w:szCs w:val="24"/>
              </w:rPr>
              <w:t>руб</w:t>
            </w:r>
            <w:proofErr w:type="spellEnd"/>
            <w:r w:rsidRPr="009D427F">
              <w:rPr>
                <w:rFonts w:ascii="Times New Roman" w:hAnsi="Times New Roman"/>
                <w:b/>
                <w:sz w:val="24"/>
                <w:szCs w:val="24"/>
              </w:rPr>
              <w:t>)</w:t>
            </w:r>
          </w:p>
        </w:tc>
        <w:tc>
          <w:tcPr>
            <w:tcW w:w="1360" w:type="dxa"/>
            <w:shd w:val="clear" w:color="auto" w:fill="FFFF99"/>
            <w:vAlign w:val="center"/>
          </w:tcPr>
          <w:p w:rsidR="009D427F" w:rsidRPr="009D427F" w:rsidRDefault="009D427F" w:rsidP="009D427F">
            <w:pPr>
              <w:rPr>
                <w:rFonts w:ascii="Times New Roman" w:hAnsi="Times New Roman"/>
                <w:b/>
                <w:sz w:val="24"/>
                <w:szCs w:val="24"/>
              </w:rPr>
            </w:pPr>
            <w:r w:rsidRPr="009D427F">
              <w:rPr>
                <w:rFonts w:ascii="Times New Roman" w:hAnsi="Times New Roman"/>
                <w:b/>
                <w:sz w:val="24"/>
                <w:szCs w:val="24"/>
              </w:rPr>
              <w:t>Сумма с НДС (</w:t>
            </w:r>
            <w:proofErr w:type="spellStart"/>
            <w:r w:rsidRPr="009D427F">
              <w:rPr>
                <w:rFonts w:ascii="Times New Roman" w:hAnsi="Times New Roman"/>
                <w:b/>
                <w:sz w:val="24"/>
                <w:szCs w:val="24"/>
              </w:rPr>
              <w:t>руб</w:t>
            </w:r>
            <w:proofErr w:type="spellEnd"/>
            <w:r w:rsidRPr="009D427F">
              <w:rPr>
                <w:rFonts w:ascii="Times New Roman" w:hAnsi="Times New Roman"/>
                <w:b/>
                <w:sz w:val="24"/>
                <w:szCs w:val="24"/>
              </w:rPr>
              <w:t>)</w:t>
            </w:r>
          </w:p>
        </w:tc>
      </w:tr>
      <w:tr w:rsidR="009D427F" w:rsidRPr="009D427F" w:rsidTr="00B4217E">
        <w:trPr>
          <w:trHeight w:val="1116"/>
        </w:trPr>
        <w:tc>
          <w:tcPr>
            <w:tcW w:w="655" w:type="dxa"/>
          </w:tcPr>
          <w:p w:rsidR="009D427F" w:rsidRPr="009D427F" w:rsidRDefault="009D427F" w:rsidP="009D427F">
            <w:pPr>
              <w:rPr>
                <w:rFonts w:ascii="Times New Roman" w:hAnsi="Times New Roman"/>
                <w:sz w:val="24"/>
                <w:szCs w:val="24"/>
              </w:rPr>
            </w:pPr>
            <w:r w:rsidRPr="00B4217E">
              <w:rPr>
                <w:rFonts w:ascii="Times New Roman" w:hAnsi="Times New Roman"/>
                <w:sz w:val="24"/>
                <w:szCs w:val="24"/>
              </w:rPr>
              <w:t>1</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 xml:space="preserve">p16 антиген ИВД, набор, </w:t>
            </w:r>
            <w:proofErr w:type="spellStart"/>
            <w:r w:rsidRPr="009D427F">
              <w:rPr>
                <w:rFonts w:ascii="Times New Roman" w:hAnsi="Times New Roman"/>
                <w:b/>
                <w:i/>
                <w:sz w:val="24"/>
                <w:szCs w:val="24"/>
              </w:rPr>
              <w:t>иммуногистохимическая</w:t>
            </w:r>
            <w:proofErr w:type="spellEnd"/>
            <w:r w:rsidRPr="009D427F">
              <w:rPr>
                <w:rFonts w:ascii="Times New Roman" w:hAnsi="Times New Roman"/>
                <w:b/>
                <w:i/>
                <w:sz w:val="24"/>
                <w:szCs w:val="24"/>
              </w:rPr>
              <w:t xml:space="preserve"> реакция с ферментной меткой</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Набор реагентов и других связанных с ними материалов, предназначенный для качественного и/или количественного определения антигена p16 (p16 </w:t>
            </w:r>
            <w:proofErr w:type="spellStart"/>
            <w:r w:rsidRPr="009D427F">
              <w:rPr>
                <w:rFonts w:ascii="Times New Roman" w:hAnsi="Times New Roman"/>
                <w:sz w:val="24"/>
                <w:szCs w:val="24"/>
              </w:rPr>
              <w:t>antigen</w:t>
            </w:r>
            <w:proofErr w:type="spellEnd"/>
            <w:r w:rsidRPr="009D427F">
              <w:rPr>
                <w:rFonts w:ascii="Times New Roman" w:hAnsi="Times New Roman"/>
                <w:sz w:val="24"/>
                <w:szCs w:val="24"/>
              </w:rPr>
              <w:t xml:space="preserve">) в клиническом образце методом ферментного </w:t>
            </w:r>
            <w:proofErr w:type="spellStart"/>
            <w:r w:rsidRPr="009D427F">
              <w:rPr>
                <w:rFonts w:ascii="Times New Roman" w:hAnsi="Times New Roman"/>
                <w:sz w:val="24"/>
                <w:szCs w:val="24"/>
              </w:rPr>
              <w:t>иммуногистохимического</w:t>
            </w:r>
            <w:proofErr w:type="spellEnd"/>
            <w:r w:rsidRPr="009D427F">
              <w:rPr>
                <w:rFonts w:ascii="Times New Roman" w:hAnsi="Times New Roman"/>
                <w:sz w:val="24"/>
                <w:szCs w:val="24"/>
              </w:rPr>
              <w:t xml:space="preserve"> окрашивания.</w:t>
            </w:r>
            <w:r w:rsidRPr="009D427F">
              <w:rPr>
                <w:rFonts w:ascii="Times New Roman" w:hAnsi="Times New Roman"/>
                <w:sz w:val="24"/>
                <w:szCs w:val="24"/>
              </w:rPr>
              <w:br/>
              <w:t xml:space="preserve">Предназначены для проведения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методом </w:t>
            </w:r>
            <w:proofErr w:type="spellStart"/>
            <w:r w:rsidRPr="009D427F">
              <w:rPr>
                <w:rFonts w:ascii="Times New Roman" w:hAnsi="Times New Roman"/>
                <w:sz w:val="24"/>
                <w:szCs w:val="24"/>
              </w:rPr>
              <w:t>иммуногистохимического</w:t>
            </w:r>
            <w:proofErr w:type="spellEnd"/>
            <w:r w:rsidRPr="009D427F">
              <w:rPr>
                <w:rFonts w:ascii="Times New Roman" w:hAnsi="Times New Roman"/>
                <w:sz w:val="24"/>
                <w:szCs w:val="24"/>
              </w:rPr>
              <w:t xml:space="preserve"> анализа на парафиновых срезах фиксированного в формалине материала (в соответствии с приказом Минздрава России от 24.03.2016 N 179н (ред. от 25.03.2019) "О Правилах проведения патолого-анатомических исследований" (Зарегистрировано в Минюсте России 14.04.2016 N 41799), с дополнением от 25.03.2019 года.  Пункт 17.1.) при помощи автоматического устройства </w:t>
            </w:r>
            <w:proofErr w:type="spellStart"/>
            <w:r w:rsidRPr="009D427F">
              <w:rPr>
                <w:rFonts w:ascii="Times New Roman" w:hAnsi="Times New Roman"/>
                <w:sz w:val="24"/>
                <w:szCs w:val="24"/>
              </w:rPr>
              <w:t>Ventana</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BenchMark</w:t>
            </w:r>
            <w:proofErr w:type="spellEnd"/>
            <w:r w:rsidRPr="009D427F">
              <w:rPr>
                <w:rFonts w:ascii="Times New Roman" w:hAnsi="Times New Roman"/>
                <w:sz w:val="24"/>
                <w:szCs w:val="24"/>
              </w:rPr>
              <w:t xml:space="preserve">, установленного у Заказчика. </w:t>
            </w:r>
            <w:r w:rsidRPr="009D427F">
              <w:rPr>
                <w:rFonts w:ascii="Times New Roman" w:hAnsi="Times New Roman"/>
                <w:sz w:val="24"/>
                <w:szCs w:val="24"/>
              </w:rPr>
              <w:br/>
              <w:t xml:space="preserve">Формат упаковки должен быть диспенсер на 25 мл для выполнения не менее чем 250 исследований. Объем обусловлен потребностью Заказчика для  обеспечения бесперебойной работы оборудования, используемого </w:t>
            </w:r>
            <w:r w:rsidRPr="009D427F">
              <w:rPr>
                <w:rFonts w:ascii="Times New Roman" w:hAnsi="Times New Roman"/>
                <w:sz w:val="24"/>
                <w:szCs w:val="24"/>
              </w:rPr>
              <w:lastRenderedPageBreak/>
              <w:t>Заказчиком.</w:t>
            </w:r>
          </w:p>
        </w:tc>
        <w:tc>
          <w:tcPr>
            <w:tcW w:w="788"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lastRenderedPageBreak/>
              <w:t>набор</w:t>
            </w:r>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3</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21.20.23.110-00000722</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2925"/>
        </w:trPr>
        <w:tc>
          <w:tcPr>
            <w:tcW w:w="655" w:type="dxa"/>
          </w:tcPr>
          <w:p w:rsidR="009D427F" w:rsidRPr="009D427F" w:rsidRDefault="009D427F" w:rsidP="009D427F">
            <w:pPr>
              <w:rPr>
                <w:rFonts w:ascii="Times New Roman" w:hAnsi="Times New Roman"/>
                <w:sz w:val="24"/>
                <w:szCs w:val="24"/>
              </w:rPr>
            </w:pPr>
            <w:r w:rsidRPr="00B4217E">
              <w:rPr>
                <w:rFonts w:ascii="Times New Roman" w:hAnsi="Times New Roman"/>
                <w:sz w:val="24"/>
                <w:szCs w:val="24"/>
              </w:rPr>
              <w:lastRenderedPageBreak/>
              <w:t>2</w:t>
            </w:r>
          </w:p>
        </w:tc>
        <w:tc>
          <w:tcPr>
            <w:tcW w:w="2555" w:type="dxa"/>
            <w:hideMark/>
          </w:tcPr>
          <w:p w:rsidR="009D427F" w:rsidRPr="009D427F" w:rsidRDefault="009D427F" w:rsidP="009D427F">
            <w:pPr>
              <w:rPr>
                <w:rFonts w:ascii="Times New Roman" w:hAnsi="Times New Roman"/>
                <w:b/>
                <w:i/>
                <w:sz w:val="24"/>
                <w:szCs w:val="24"/>
              </w:rPr>
            </w:pPr>
            <w:proofErr w:type="spellStart"/>
            <w:r w:rsidRPr="009D427F">
              <w:rPr>
                <w:rFonts w:ascii="Times New Roman" w:hAnsi="Times New Roman"/>
                <w:b/>
                <w:i/>
                <w:sz w:val="24"/>
                <w:szCs w:val="24"/>
              </w:rPr>
              <w:t>Десмин</w:t>
            </w:r>
            <w:proofErr w:type="spellEnd"/>
            <w:r w:rsidRPr="009D427F">
              <w:rPr>
                <w:rFonts w:ascii="Times New Roman" w:hAnsi="Times New Roman"/>
                <w:b/>
                <w:i/>
                <w:sz w:val="24"/>
                <w:szCs w:val="24"/>
              </w:rPr>
              <w:t xml:space="preserve"> белок ИВД, антитела</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определения белка </w:t>
            </w:r>
            <w:proofErr w:type="spellStart"/>
            <w:r w:rsidRPr="009D427F">
              <w:rPr>
                <w:rFonts w:ascii="Times New Roman" w:hAnsi="Times New Roman"/>
                <w:sz w:val="24"/>
                <w:szCs w:val="24"/>
              </w:rPr>
              <w:t>десмина</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desmin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protein</w:t>
            </w:r>
            <w:proofErr w:type="spellEnd"/>
            <w:r w:rsidRPr="009D427F">
              <w:rPr>
                <w:rFonts w:ascii="Times New Roman" w:hAnsi="Times New Roman"/>
                <w:sz w:val="24"/>
                <w:szCs w:val="24"/>
              </w:rPr>
              <w:t>) в клиническом образце.</w:t>
            </w:r>
            <w:r w:rsidRPr="009D427F">
              <w:rPr>
                <w:rFonts w:ascii="Times New Roman" w:hAnsi="Times New Roman"/>
                <w:sz w:val="24"/>
                <w:szCs w:val="24"/>
              </w:rPr>
              <w:br/>
              <w:t>Количество выполняемых тестов</w:t>
            </w:r>
            <w:r w:rsidRPr="009D427F">
              <w:rPr>
                <w:rFonts w:ascii="Times New Roman" w:hAnsi="Times New Roman"/>
                <w:sz w:val="24"/>
                <w:szCs w:val="24"/>
              </w:rPr>
              <w:br/>
              <w:t xml:space="preserve"> ≥ 30  Штука </w:t>
            </w:r>
            <w:r w:rsidRPr="009D427F">
              <w:rPr>
                <w:rFonts w:ascii="Times New Roman" w:hAnsi="Times New Roman"/>
                <w:sz w:val="24"/>
                <w:szCs w:val="24"/>
              </w:rPr>
              <w:br/>
              <w:t>Назначение</w:t>
            </w:r>
            <w:r w:rsidRPr="009D427F">
              <w:rPr>
                <w:rFonts w:ascii="Times New Roman" w:hAnsi="Times New Roman"/>
                <w:sz w:val="24"/>
                <w:szCs w:val="24"/>
              </w:rPr>
              <w:br/>
              <w:t xml:space="preserve">Для автоматической и ручной постановки </w:t>
            </w:r>
            <w:r w:rsidRPr="009D427F">
              <w:rPr>
                <w:rFonts w:ascii="Times New Roman" w:hAnsi="Times New Roman"/>
                <w:sz w:val="24"/>
                <w:szCs w:val="24"/>
              </w:rPr>
              <w:br/>
              <w:t>Антитела должны иметь клон D33 для выполнения анализа согласно методике, используемой лабораторией.</w:t>
            </w:r>
            <w:r w:rsidRPr="009D427F">
              <w:rPr>
                <w:rFonts w:ascii="Times New Roman" w:hAnsi="Times New Roman"/>
                <w:sz w:val="24"/>
                <w:szCs w:val="24"/>
              </w:rPr>
              <w:br/>
              <w:t>Антитела должны быть готовые к применению для сокращения времени анализа.</w:t>
            </w:r>
          </w:p>
        </w:tc>
        <w:tc>
          <w:tcPr>
            <w:tcW w:w="788"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набор</w:t>
            </w:r>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21.20.23.110-00006967</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900"/>
        </w:trPr>
        <w:tc>
          <w:tcPr>
            <w:tcW w:w="655" w:type="dxa"/>
          </w:tcPr>
          <w:p w:rsidR="009D427F" w:rsidRPr="009D427F" w:rsidRDefault="009D427F" w:rsidP="009D427F">
            <w:pPr>
              <w:rPr>
                <w:rFonts w:ascii="Times New Roman" w:hAnsi="Times New Roman"/>
                <w:sz w:val="24"/>
                <w:szCs w:val="24"/>
              </w:rPr>
            </w:pPr>
            <w:r w:rsidRPr="00B4217E">
              <w:rPr>
                <w:rFonts w:ascii="Times New Roman" w:hAnsi="Times New Roman"/>
                <w:sz w:val="24"/>
                <w:szCs w:val="24"/>
              </w:rPr>
              <w:t>3</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 </w:t>
            </w:r>
            <w:r w:rsidRPr="00B4217E">
              <w:rPr>
                <w:rFonts w:ascii="Times New Roman" w:hAnsi="Times New Roman"/>
                <w:b/>
                <w:i/>
                <w:sz w:val="24"/>
                <w:szCs w:val="24"/>
              </w:rPr>
              <w:t xml:space="preserve">Антитела </w:t>
            </w:r>
            <w:proofErr w:type="spellStart"/>
            <w:r w:rsidRPr="00B4217E">
              <w:rPr>
                <w:rFonts w:ascii="Times New Roman" w:hAnsi="Times New Roman"/>
                <w:b/>
                <w:i/>
                <w:sz w:val="24"/>
                <w:szCs w:val="24"/>
              </w:rPr>
              <w:t>моноклональные</w:t>
            </w:r>
            <w:proofErr w:type="spellEnd"/>
            <w:r w:rsidRPr="00B4217E">
              <w:rPr>
                <w:rFonts w:ascii="Times New Roman" w:hAnsi="Times New Roman"/>
                <w:b/>
                <w:i/>
                <w:sz w:val="24"/>
                <w:szCs w:val="24"/>
              </w:rPr>
              <w:t xml:space="preserve"> мышиные к человеческим BCL2 </w:t>
            </w:r>
            <w:proofErr w:type="spellStart"/>
            <w:r w:rsidRPr="00B4217E">
              <w:rPr>
                <w:rFonts w:ascii="Times New Roman" w:hAnsi="Times New Roman"/>
                <w:b/>
                <w:i/>
                <w:sz w:val="24"/>
                <w:szCs w:val="24"/>
              </w:rPr>
              <w:t>Онкопротеин</w:t>
            </w:r>
            <w:proofErr w:type="spellEnd"/>
            <w:r w:rsidRPr="00B4217E">
              <w:rPr>
                <w:rFonts w:ascii="Times New Roman" w:hAnsi="Times New Roman"/>
                <w:b/>
                <w:i/>
                <w:sz w:val="24"/>
                <w:szCs w:val="24"/>
              </w:rPr>
              <w:t>, клон 124</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Антитела мышиные,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к bcl-2, клон 124, должны быть жидкие, должны быть концентрированные. Должны быть предназначены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упаковке должно быть не менее 1 мл.</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20.59.52.199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3825"/>
        </w:trPr>
        <w:tc>
          <w:tcPr>
            <w:tcW w:w="655" w:type="dxa"/>
          </w:tcPr>
          <w:p w:rsidR="009D427F" w:rsidRPr="00B4217E" w:rsidRDefault="009D427F" w:rsidP="009D427F">
            <w:pPr>
              <w:rPr>
                <w:rFonts w:ascii="Times New Roman" w:hAnsi="Times New Roman"/>
                <w:sz w:val="24"/>
                <w:szCs w:val="24"/>
              </w:rPr>
            </w:pPr>
          </w:p>
          <w:p w:rsidR="009D427F" w:rsidRPr="00B4217E" w:rsidRDefault="009D427F" w:rsidP="009D427F">
            <w:pPr>
              <w:rPr>
                <w:rFonts w:ascii="Times New Roman" w:hAnsi="Times New Roman"/>
                <w:sz w:val="24"/>
                <w:szCs w:val="24"/>
              </w:rPr>
            </w:pPr>
          </w:p>
          <w:p w:rsidR="009D427F" w:rsidRPr="00B4217E" w:rsidRDefault="009D427F" w:rsidP="009D427F">
            <w:pPr>
              <w:rPr>
                <w:rFonts w:ascii="Times New Roman" w:hAnsi="Times New Roman"/>
                <w:sz w:val="24"/>
                <w:szCs w:val="24"/>
              </w:rPr>
            </w:pPr>
          </w:p>
          <w:p w:rsidR="009D427F" w:rsidRPr="00B4217E" w:rsidRDefault="009D427F" w:rsidP="009D427F">
            <w:pPr>
              <w:rPr>
                <w:rFonts w:ascii="Times New Roman" w:hAnsi="Times New Roman"/>
                <w:sz w:val="24"/>
                <w:szCs w:val="24"/>
              </w:rPr>
            </w:pPr>
          </w:p>
          <w:p w:rsidR="009D427F" w:rsidRPr="00B4217E" w:rsidRDefault="009D427F" w:rsidP="009D427F">
            <w:pPr>
              <w:rPr>
                <w:rFonts w:ascii="Times New Roman" w:hAnsi="Times New Roman"/>
                <w:sz w:val="24"/>
                <w:szCs w:val="24"/>
              </w:rPr>
            </w:pPr>
            <w:r w:rsidRPr="00B4217E">
              <w:rPr>
                <w:rFonts w:ascii="Times New Roman" w:hAnsi="Times New Roman"/>
                <w:sz w:val="24"/>
                <w:szCs w:val="24"/>
              </w:rPr>
              <w:t>4</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 xml:space="preserve">CD15 клеточный маркер ИВД, антитела </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клеточного маркера CD15 (CD15 </w:t>
            </w:r>
            <w:proofErr w:type="spellStart"/>
            <w:r w:rsidRPr="009D427F">
              <w:rPr>
                <w:rFonts w:ascii="Times New Roman" w:hAnsi="Times New Roman"/>
                <w:sz w:val="24"/>
                <w:szCs w:val="24"/>
              </w:rPr>
              <w:t>cell</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marker</w:t>
            </w:r>
            <w:proofErr w:type="spellEnd"/>
            <w:r w:rsidRPr="009D427F">
              <w:rPr>
                <w:rFonts w:ascii="Times New Roman" w:hAnsi="Times New Roman"/>
                <w:sz w:val="24"/>
                <w:szCs w:val="24"/>
              </w:rPr>
              <w:t>) в клиническом образце.</w:t>
            </w:r>
            <w:r w:rsidRPr="009D427F">
              <w:rPr>
                <w:rFonts w:ascii="Times New Roman" w:hAnsi="Times New Roman"/>
                <w:sz w:val="24"/>
                <w:szCs w:val="24"/>
              </w:rPr>
              <w:br/>
              <w:t>Объем реагента:</w:t>
            </w:r>
            <w:r w:rsidRPr="009D427F">
              <w:rPr>
                <w:rFonts w:ascii="Times New Roman" w:hAnsi="Times New Roman"/>
                <w:sz w:val="24"/>
                <w:szCs w:val="24"/>
              </w:rPr>
              <w:br/>
              <w:t xml:space="preserve"> ≥ 1  Кубический сантиметр;^миллилитр </w:t>
            </w:r>
            <w:r w:rsidRPr="009D427F">
              <w:rPr>
                <w:rFonts w:ascii="Times New Roman" w:hAnsi="Times New Roman"/>
                <w:sz w:val="24"/>
                <w:szCs w:val="24"/>
              </w:rPr>
              <w:br/>
              <w:t>Форма выпуска:</w:t>
            </w:r>
            <w:r w:rsidRPr="009D427F">
              <w:rPr>
                <w:rFonts w:ascii="Times New Roman" w:hAnsi="Times New Roman"/>
                <w:sz w:val="24"/>
                <w:szCs w:val="24"/>
              </w:rPr>
              <w:br/>
              <w:t>Жидкие концентрированные.</w:t>
            </w:r>
            <w:r w:rsidRPr="009D427F">
              <w:rPr>
                <w:rFonts w:ascii="Times New Roman" w:hAnsi="Times New Roman"/>
                <w:sz w:val="24"/>
                <w:szCs w:val="24"/>
              </w:rPr>
              <w:br/>
              <w:t xml:space="preserve">*Антитела мышиные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к человеческим CD15 должны иметь клон Carb-3, согласно методике проводимого исследования. Отработанный протокол исследований, реализует возможность точного анализа препаратов для проведения исследования и постановки диагноза. </w:t>
            </w:r>
            <w:r w:rsidRPr="009D427F">
              <w:rPr>
                <w:rFonts w:ascii="Times New Roman" w:hAnsi="Times New Roman"/>
                <w:sz w:val="24"/>
                <w:szCs w:val="24"/>
              </w:rPr>
              <w:br/>
              <w:t xml:space="preserve">Должны быть предназначены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соответствии с приказом Минздрава России от 24.03.2016 N 179н (ред. от 25.03.2019) "О Правилах проведения патолого-анатомических исследований" (Зарегистрировано в Минюсте России 14.04.2016 N 41799), с дополнением от 25.03.2019 года.  Пункт 17.1.</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21.20.23.110-00000562</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3825"/>
        </w:trPr>
        <w:tc>
          <w:tcPr>
            <w:tcW w:w="655" w:type="dxa"/>
          </w:tcPr>
          <w:p w:rsidR="009D427F" w:rsidRPr="009D427F" w:rsidRDefault="009D427F" w:rsidP="009D427F">
            <w:pPr>
              <w:rPr>
                <w:rFonts w:ascii="Times New Roman" w:hAnsi="Times New Roman"/>
                <w:sz w:val="24"/>
                <w:szCs w:val="24"/>
              </w:rPr>
            </w:pPr>
            <w:r w:rsidRPr="00B4217E">
              <w:rPr>
                <w:rFonts w:ascii="Times New Roman" w:hAnsi="Times New Roman"/>
                <w:sz w:val="24"/>
                <w:szCs w:val="24"/>
              </w:rPr>
              <w:lastRenderedPageBreak/>
              <w:t>5</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 xml:space="preserve">CD30 клеточный маркер ИВД, антитела </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клеточного маркера CD30 (CD30 </w:t>
            </w:r>
            <w:proofErr w:type="spellStart"/>
            <w:r w:rsidRPr="009D427F">
              <w:rPr>
                <w:rFonts w:ascii="Times New Roman" w:hAnsi="Times New Roman"/>
                <w:sz w:val="24"/>
                <w:szCs w:val="24"/>
              </w:rPr>
              <w:t>cell</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marker</w:t>
            </w:r>
            <w:proofErr w:type="spellEnd"/>
            <w:r w:rsidRPr="009D427F">
              <w:rPr>
                <w:rFonts w:ascii="Times New Roman" w:hAnsi="Times New Roman"/>
                <w:sz w:val="24"/>
                <w:szCs w:val="24"/>
              </w:rPr>
              <w:t>) в клиническом образце</w:t>
            </w:r>
            <w:r w:rsidRPr="009D427F">
              <w:rPr>
                <w:rFonts w:ascii="Times New Roman" w:hAnsi="Times New Roman"/>
                <w:sz w:val="24"/>
                <w:szCs w:val="24"/>
              </w:rPr>
              <w:br/>
              <w:t>Объем реагента:</w:t>
            </w:r>
            <w:r w:rsidRPr="009D427F">
              <w:rPr>
                <w:rFonts w:ascii="Times New Roman" w:hAnsi="Times New Roman"/>
                <w:sz w:val="24"/>
                <w:szCs w:val="24"/>
              </w:rPr>
              <w:br/>
              <w:t xml:space="preserve"> ≥ 1  Кубический сантиметр;^миллилитр </w:t>
            </w:r>
            <w:r w:rsidRPr="009D427F">
              <w:rPr>
                <w:rFonts w:ascii="Times New Roman" w:hAnsi="Times New Roman"/>
                <w:sz w:val="24"/>
                <w:szCs w:val="24"/>
              </w:rPr>
              <w:br/>
              <w:t>Форма выпуска:</w:t>
            </w:r>
            <w:r w:rsidRPr="009D427F">
              <w:rPr>
                <w:rFonts w:ascii="Times New Roman" w:hAnsi="Times New Roman"/>
                <w:sz w:val="24"/>
                <w:szCs w:val="24"/>
              </w:rPr>
              <w:br/>
              <w:t>Жидкие концентрированные.</w:t>
            </w:r>
            <w:r w:rsidRPr="009D427F">
              <w:rPr>
                <w:rFonts w:ascii="Times New Roman" w:hAnsi="Times New Roman"/>
                <w:sz w:val="24"/>
                <w:szCs w:val="24"/>
              </w:rPr>
              <w:br/>
              <w:t xml:space="preserve">*Антитела мышиные,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к человеческим CD30 должны иметь клон Ber-H2, согласно методике проводимого исследования. Отработанный протокол исследований, реализует возможность точного анализа препаратов для проведения исследования и постановки диагноза. </w:t>
            </w:r>
            <w:r w:rsidRPr="009D427F">
              <w:rPr>
                <w:rFonts w:ascii="Times New Roman" w:hAnsi="Times New Roman"/>
                <w:sz w:val="24"/>
                <w:szCs w:val="24"/>
              </w:rPr>
              <w:br/>
              <w:t xml:space="preserve">Должны быть предназначены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соответствии с приказом Минздрава России от 24.03.2016 N 179н (ред. от 25.03.2019) "О Правилах проведения патолого-анатомических исследований" (Зарегистрировано в Минюсте России 14.04.2016 N 41799), с дополнением от 25.03.2019 года.  Пункт 17.1.</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21.20.23.110-00000568</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900"/>
        </w:trPr>
        <w:tc>
          <w:tcPr>
            <w:tcW w:w="655" w:type="dxa"/>
          </w:tcPr>
          <w:p w:rsidR="009D427F" w:rsidRPr="009D427F" w:rsidRDefault="009D427F" w:rsidP="009D427F">
            <w:pPr>
              <w:rPr>
                <w:rFonts w:ascii="Times New Roman" w:hAnsi="Times New Roman"/>
                <w:sz w:val="24"/>
                <w:szCs w:val="24"/>
              </w:rPr>
            </w:pPr>
            <w:r w:rsidRPr="00B4217E">
              <w:rPr>
                <w:rFonts w:ascii="Times New Roman" w:hAnsi="Times New Roman"/>
                <w:sz w:val="24"/>
                <w:szCs w:val="24"/>
              </w:rPr>
              <w:lastRenderedPageBreak/>
              <w:t>6</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 </w:t>
            </w:r>
            <w:r w:rsidRPr="00B4217E">
              <w:rPr>
                <w:rFonts w:ascii="Times New Roman" w:hAnsi="Times New Roman"/>
                <w:b/>
                <w:i/>
                <w:sz w:val="24"/>
                <w:szCs w:val="24"/>
              </w:rPr>
              <w:t xml:space="preserve">Антитела </w:t>
            </w:r>
            <w:proofErr w:type="spellStart"/>
            <w:r w:rsidRPr="00B4217E">
              <w:rPr>
                <w:rFonts w:ascii="Times New Roman" w:hAnsi="Times New Roman"/>
                <w:b/>
                <w:i/>
                <w:sz w:val="24"/>
                <w:szCs w:val="24"/>
              </w:rPr>
              <w:t>моноклональные</w:t>
            </w:r>
            <w:proofErr w:type="spellEnd"/>
            <w:r w:rsidRPr="00B4217E">
              <w:rPr>
                <w:rFonts w:ascii="Times New Roman" w:hAnsi="Times New Roman"/>
                <w:b/>
                <w:i/>
                <w:sz w:val="24"/>
                <w:szCs w:val="24"/>
              </w:rPr>
              <w:t xml:space="preserve"> мышиные к человеческим </w:t>
            </w:r>
            <w:proofErr w:type="spellStart"/>
            <w:r w:rsidRPr="00B4217E">
              <w:rPr>
                <w:rFonts w:ascii="Times New Roman" w:hAnsi="Times New Roman"/>
                <w:b/>
                <w:i/>
                <w:sz w:val="24"/>
                <w:szCs w:val="24"/>
              </w:rPr>
              <w:t>Мелан</w:t>
            </w:r>
            <w:proofErr w:type="spellEnd"/>
            <w:r w:rsidRPr="00B4217E">
              <w:rPr>
                <w:rFonts w:ascii="Times New Roman" w:hAnsi="Times New Roman"/>
                <w:b/>
                <w:i/>
                <w:sz w:val="24"/>
                <w:szCs w:val="24"/>
              </w:rPr>
              <w:t>-A, 1 мл</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Антитела мышиные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к человеческим </w:t>
            </w:r>
            <w:proofErr w:type="spellStart"/>
            <w:r w:rsidRPr="009D427F">
              <w:rPr>
                <w:rFonts w:ascii="Times New Roman" w:hAnsi="Times New Roman"/>
                <w:sz w:val="24"/>
                <w:szCs w:val="24"/>
              </w:rPr>
              <w:t>Мелан</w:t>
            </w:r>
            <w:proofErr w:type="spellEnd"/>
            <w:r w:rsidRPr="009D427F">
              <w:rPr>
                <w:rFonts w:ascii="Times New Roman" w:hAnsi="Times New Roman"/>
                <w:sz w:val="24"/>
                <w:szCs w:val="24"/>
              </w:rPr>
              <w:t xml:space="preserve">-А, клон А103, должны быть жидкие, должны быть концентрированные. Должны быть предназначены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упаковке должно быть не менее 1 мл.</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20.59.52.199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1050"/>
        </w:trPr>
        <w:tc>
          <w:tcPr>
            <w:tcW w:w="655" w:type="dxa"/>
          </w:tcPr>
          <w:p w:rsidR="009D427F" w:rsidRPr="009D427F" w:rsidRDefault="009D427F" w:rsidP="009D427F">
            <w:pPr>
              <w:rPr>
                <w:rFonts w:ascii="Times New Roman" w:hAnsi="Times New Roman"/>
                <w:sz w:val="24"/>
                <w:szCs w:val="24"/>
              </w:rPr>
            </w:pPr>
            <w:r w:rsidRPr="00B4217E">
              <w:rPr>
                <w:rFonts w:ascii="Times New Roman" w:hAnsi="Times New Roman"/>
                <w:sz w:val="24"/>
                <w:szCs w:val="24"/>
              </w:rPr>
              <w:t>7</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 </w:t>
            </w:r>
            <w:r w:rsidRPr="00B4217E">
              <w:rPr>
                <w:rFonts w:ascii="Times New Roman" w:hAnsi="Times New Roman"/>
                <w:b/>
                <w:i/>
                <w:sz w:val="24"/>
                <w:szCs w:val="24"/>
              </w:rPr>
              <w:t xml:space="preserve">Антитела </w:t>
            </w:r>
            <w:proofErr w:type="spellStart"/>
            <w:r w:rsidRPr="00B4217E">
              <w:rPr>
                <w:rFonts w:ascii="Times New Roman" w:hAnsi="Times New Roman"/>
                <w:b/>
                <w:i/>
                <w:sz w:val="24"/>
                <w:szCs w:val="24"/>
              </w:rPr>
              <w:t>моноклональные</w:t>
            </w:r>
            <w:proofErr w:type="spellEnd"/>
            <w:r w:rsidRPr="00B4217E">
              <w:rPr>
                <w:rFonts w:ascii="Times New Roman" w:hAnsi="Times New Roman"/>
                <w:b/>
                <w:i/>
                <w:sz w:val="24"/>
                <w:szCs w:val="24"/>
              </w:rPr>
              <w:t xml:space="preserve"> мышиные к человеческой Опухоли </w:t>
            </w:r>
            <w:proofErr w:type="spellStart"/>
            <w:r w:rsidRPr="00B4217E">
              <w:rPr>
                <w:rFonts w:ascii="Times New Roman" w:hAnsi="Times New Roman"/>
                <w:b/>
                <w:i/>
                <w:sz w:val="24"/>
                <w:szCs w:val="24"/>
              </w:rPr>
              <w:t>Вильмса</w:t>
            </w:r>
            <w:proofErr w:type="spellEnd"/>
            <w:r w:rsidRPr="00B4217E">
              <w:rPr>
                <w:rFonts w:ascii="Times New Roman" w:hAnsi="Times New Roman"/>
                <w:b/>
                <w:i/>
                <w:sz w:val="24"/>
                <w:szCs w:val="24"/>
              </w:rPr>
              <w:t xml:space="preserve"> 1 (WT1) Протеин, клон 6F-H2, 12 мл., IR055</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Антитела мышиные,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к человеческому протеину опухоли </w:t>
            </w:r>
            <w:proofErr w:type="spellStart"/>
            <w:r w:rsidRPr="009D427F">
              <w:rPr>
                <w:rFonts w:ascii="Times New Roman" w:hAnsi="Times New Roman"/>
                <w:sz w:val="24"/>
                <w:szCs w:val="24"/>
              </w:rPr>
              <w:t>Вильмса</w:t>
            </w:r>
            <w:proofErr w:type="spellEnd"/>
            <w:r w:rsidRPr="009D427F">
              <w:rPr>
                <w:rFonts w:ascii="Times New Roman" w:hAnsi="Times New Roman"/>
                <w:sz w:val="24"/>
                <w:szCs w:val="24"/>
              </w:rPr>
              <w:t xml:space="preserve">, клон 6F-H2, должны быть жидкие, должны быть готовые к использованию. Должны быть предназначены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упаковке должно быть не менее 12 мл.</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20.59.52.199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3825"/>
        </w:trPr>
        <w:tc>
          <w:tcPr>
            <w:tcW w:w="655" w:type="dxa"/>
          </w:tcPr>
          <w:p w:rsidR="009D427F" w:rsidRPr="009D427F" w:rsidRDefault="009D427F" w:rsidP="009D427F">
            <w:pPr>
              <w:rPr>
                <w:rFonts w:ascii="Times New Roman" w:hAnsi="Times New Roman"/>
                <w:sz w:val="24"/>
                <w:szCs w:val="24"/>
              </w:rPr>
            </w:pPr>
            <w:r w:rsidRPr="00B4217E">
              <w:rPr>
                <w:rFonts w:ascii="Times New Roman" w:hAnsi="Times New Roman"/>
                <w:sz w:val="24"/>
                <w:szCs w:val="24"/>
              </w:rPr>
              <w:lastRenderedPageBreak/>
              <w:t>8</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 xml:space="preserve">CD30 клеточный маркер ИВД, антитела </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клеточного маркера CD30 (CD30 </w:t>
            </w:r>
            <w:proofErr w:type="spellStart"/>
            <w:r w:rsidRPr="009D427F">
              <w:rPr>
                <w:rFonts w:ascii="Times New Roman" w:hAnsi="Times New Roman"/>
                <w:sz w:val="24"/>
                <w:szCs w:val="24"/>
              </w:rPr>
              <w:t>cell</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marker</w:t>
            </w:r>
            <w:proofErr w:type="spellEnd"/>
            <w:r w:rsidRPr="009D427F">
              <w:rPr>
                <w:rFonts w:ascii="Times New Roman" w:hAnsi="Times New Roman"/>
                <w:sz w:val="24"/>
                <w:szCs w:val="24"/>
              </w:rPr>
              <w:t>) в клиническом образце</w:t>
            </w:r>
            <w:r w:rsidRPr="009D427F">
              <w:rPr>
                <w:rFonts w:ascii="Times New Roman" w:hAnsi="Times New Roman"/>
                <w:sz w:val="24"/>
                <w:szCs w:val="24"/>
              </w:rPr>
              <w:br/>
              <w:t>Объем реагента:</w:t>
            </w:r>
            <w:r w:rsidRPr="009D427F">
              <w:rPr>
                <w:rFonts w:ascii="Times New Roman" w:hAnsi="Times New Roman"/>
                <w:sz w:val="24"/>
                <w:szCs w:val="24"/>
              </w:rPr>
              <w:br/>
              <w:t xml:space="preserve"> ≥ 1  Кубический сантиметр;^миллилитр </w:t>
            </w:r>
            <w:r w:rsidRPr="009D427F">
              <w:rPr>
                <w:rFonts w:ascii="Times New Roman" w:hAnsi="Times New Roman"/>
                <w:sz w:val="24"/>
                <w:szCs w:val="24"/>
              </w:rPr>
              <w:br/>
              <w:t>Форма выпуска:</w:t>
            </w:r>
            <w:r w:rsidRPr="009D427F">
              <w:rPr>
                <w:rFonts w:ascii="Times New Roman" w:hAnsi="Times New Roman"/>
                <w:sz w:val="24"/>
                <w:szCs w:val="24"/>
              </w:rPr>
              <w:br/>
              <w:t>Жидкие концентрированные.</w:t>
            </w:r>
            <w:r w:rsidRPr="009D427F">
              <w:rPr>
                <w:rFonts w:ascii="Times New Roman" w:hAnsi="Times New Roman"/>
                <w:sz w:val="24"/>
                <w:szCs w:val="24"/>
              </w:rPr>
              <w:br/>
              <w:t xml:space="preserve">*Антитела мышиные,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к человеческим CD30 должны иметь клон Ber-H2, согласно методике проводимого исследования. Отработанный протокол исследований, реализует возможность точного анализа препаратов для проведения исследования и постановки диагноза. </w:t>
            </w:r>
            <w:r w:rsidRPr="009D427F">
              <w:rPr>
                <w:rFonts w:ascii="Times New Roman" w:hAnsi="Times New Roman"/>
                <w:sz w:val="24"/>
                <w:szCs w:val="24"/>
              </w:rPr>
              <w:br/>
              <w:t xml:space="preserve">Должны быть предназначены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соответствии с приказом Минздрава России от 24.03.2016 N 179н (ред. от 25.03.2019) "О Правилах проведения патолого-анатомических исследований" (Зарегистрировано в Минюсте России 14.04.2016 N 41799), с дополнением от 25.03.2019 года.  Пункт 17.1.</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21.20.23.110-00000568</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2391"/>
        </w:trPr>
        <w:tc>
          <w:tcPr>
            <w:tcW w:w="655" w:type="dxa"/>
          </w:tcPr>
          <w:p w:rsidR="009D427F" w:rsidRPr="009D427F" w:rsidRDefault="009D427F" w:rsidP="009D427F">
            <w:pPr>
              <w:rPr>
                <w:rFonts w:ascii="Times New Roman" w:hAnsi="Times New Roman"/>
                <w:sz w:val="24"/>
                <w:szCs w:val="24"/>
              </w:rPr>
            </w:pPr>
            <w:r w:rsidRPr="00B4217E">
              <w:rPr>
                <w:rFonts w:ascii="Times New Roman" w:hAnsi="Times New Roman"/>
                <w:sz w:val="24"/>
                <w:szCs w:val="24"/>
              </w:rPr>
              <w:lastRenderedPageBreak/>
              <w:t>9</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 xml:space="preserve">Андроген рецептор ИВД, антитела </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рецепторов андрогена (</w:t>
            </w:r>
            <w:proofErr w:type="spellStart"/>
            <w:r w:rsidRPr="009D427F">
              <w:rPr>
                <w:rFonts w:ascii="Times New Roman" w:hAnsi="Times New Roman"/>
                <w:sz w:val="24"/>
                <w:szCs w:val="24"/>
              </w:rPr>
              <w:t>androgen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receptors</w:t>
            </w:r>
            <w:proofErr w:type="spellEnd"/>
            <w:r w:rsidRPr="009D427F">
              <w:rPr>
                <w:rFonts w:ascii="Times New Roman" w:hAnsi="Times New Roman"/>
                <w:sz w:val="24"/>
                <w:szCs w:val="24"/>
              </w:rPr>
              <w:t>) в клиническом образце.</w:t>
            </w:r>
            <w:r w:rsidRPr="009D427F">
              <w:rPr>
                <w:rFonts w:ascii="Times New Roman" w:hAnsi="Times New Roman"/>
                <w:sz w:val="24"/>
                <w:szCs w:val="24"/>
              </w:rPr>
              <w:br/>
              <w:t xml:space="preserve">Количество выполняемых тестов: </w:t>
            </w:r>
            <w:r w:rsidRPr="009D427F">
              <w:rPr>
                <w:rFonts w:ascii="Times New Roman" w:hAnsi="Times New Roman"/>
                <w:sz w:val="24"/>
                <w:szCs w:val="24"/>
              </w:rPr>
              <w:br/>
              <w:t xml:space="preserve"> ≥ 30  Штука </w:t>
            </w:r>
            <w:r w:rsidRPr="009D427F">
              <w:rPr>
                <w:rFonts w:ascii="Times New Roman" w:hAnsi="Times New Roman"/>
                <w:sz w:val="24"/>
                <w:szCs w:val="24"/>
              </w:rPr>
              <w:br/>
              <w:t>Назначение:</w:t>
            </w:r>
            <w:r w:rsidRPr="009D427F">
              <w:rPr>
                <w:rFonts w:ascii="Times New Roman" w:hAnsi="Times New Roman"/>
                <w:sz w:val="24"/>
                <w:szCs w:val="24"/>
              </w:rPr>
              <w:br/>
              <w:t xml:space="preserve"> Для автоматической и ручной постановки.</w:t>
            </w:r>
            <w:r w:rsidRPr="009D427F">
              <w:rPr>
                <w:rFonts w:ascii="Times New Roman" w:hAnsi="Times New Roman"/>
                <w:sz w:val="24"/>
                <w:szCs w:val="24"/>
              </w:rPr>
              <w:br/>
              <w:t xml:space="preserve">*Антитела мышиные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к человеческим Андроген рецептор должны иметь клон AR441, согласно методике проводимого исследования. Отработанный протокол исследований, реализует возможность точного анализа препаратов для проведения исследования и постановки диагноза. </w:t>
            </w:r>
            <w:r w:rsidRPr="009D427F">
              <w:rPr>
                <w:rFonts w:ascii="Times New Roman" w:hAnsi="Times New Roman"/>
                <w:sz w:val="24"/>
                <w:szCs w:val="24"/>
              </w:rPr>
              <w:br/>
              <w:t xml:space="preserve">Должны быть предназначены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соответствии с приказом Минздрава России от 24.03.2016 N 179н (ред. от 25.03.2019) "О Правилах проведения патолого-анатомических исследований" (Зарегистрировано в Минюсте России 14.04.2016 N 41799), с дополнением от 25.03.2019 года.  Пункт </w:t>
            </w:r>
            <w:r w:rsidRPr="009D427F">
              <w:rPr>
                <w:rFonts w:ascii="Times New Roman" w:hAnsi="Times New Roman"/>
                <w:sz w:val="24"/>
                <w:szCs w:val="24"/>
              </w:rPr>
              <w:lastRenderedPageBreak/>
              <w:t>17.1. )</w:t>
            </w:r>
            <w:r w:rsidRPr="009D427F">
              <w:rPr>
                <w:rFonts w:ascii="Times New Roman" w:hAnsi="Times New Roman"/>
                <w:sz w:val="24"/>
                <w:szCs w:val="24"/>
              </w:rPr>
              <w:br/>
              <w:t xml:space="preserve">Фасовка должна быть не менее чем 1 мл. Объем обусловлен потребностью заказчика для  обеспечения бесперебойной работы оборудования, используемого Заказчиком. </w:t>
            </w:r>
            <w:r w:rsidRPr="009D427F">
              <w:rPr>
                <w:rFonts w:ascii="Times New Roman" w:hAnsi="Times New Roman"/>
                <w:sz w:val="24"/>
                <w:szCs w:val="24"/>
              </w:rPr>
              <w:br/>
              <w:t>Антитела должны быть жидкие концентрированные для обеспечения проведения большого объема исследований за счет концентрации.</w:t>
            </w:r>
          </w:p>
        </w:tc>
        <w:tc>
          <w:tcPr>
            <w:tcW w:w="788"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lastRenderedPageBreak/>
              <w:t>набор</w:t>
            </w:r>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21.20.23.110-00009292</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900"/>
        </w:trPr>
        <w:tc>
          <w:tcPr>
            <w:tcW w:w="655" w:type="dxa"/>
          </w:tcPr>
          <w:p w:rsidR="009D427F" w:rsidRPr="009D427F" w:rsidRDefault="009D427F" w:rsidP="009D427F">
            <w:pPr>
              <w:rPr>
                <w:rFonts w:ascii="Times New Roman" w:hAnsi="Times New Roman"/>
                <w:sz w:val="24"/>
                <w:szCs w:val="24"/>
              </w:rPr>
            </w:pPr>
            <w:r w:rsidRPr="00B4217E">
              <w:rPr>
                <w:rFonts w:ascii="Times New Roman" w:hAnsi="Times New Roman"/>
                <w:sz w:val="24"/>
                <w:szCs w:val="24"/>
              </w:rPr>
              <w:lastRenderedPageBreak/>
              <w:t>10</w:t>
            </w:r>
          </w:p>
        </w:tc>
        <w:tc>
          <w:tcPr>
            <w:tcW w:w="2555" w:type="dxa"/>
            <w:hideMark/>
          </w:tcPr>
          <w:p w:rsidR="009D427F" w:rsidRPr="009D427F" w:rsidRDefault="009D427F" w:rsidP="00420CB7">
            <w:pPr>
              <w:rPr>
                <w:rFonts w:ascii="Times New Roman" w:hAnsi="Times New Roman"/>
                <w:b/>
                <w:i/>
                <w:sz w:val="24"/>
                <w:szCs w:val="24"/>
              </w:rPr>
            </w:pPr>
            <w:r w:rsidRPr="009D427F">
              <w:rPr>
                <w:rFonts w:ascii="Times New Roman" w:hAnsi="Times New Roman"/>
                <w:b/>
                <w:i/>
                <w:sz w:val="24"/>
                <w:szCs w:val="24"/>
              </w:rPr>
              <w:t> </w:t>
            </w:r>
            <w:r w:rsidR="00B4217E" w:rsidRPr="00B4217E">
              <w:rPr>
                <w:rFonts w:ascii="Times New Roman" w:hAnsi="Times New Roman"/>
                <w:b/>
                <w:i/>
                <w:sz w:val="24"/>
                <w:szCs w:val="24"/>
              </w:rPr>
              <w:t xml:space="preserve">Антитела </w:t>
            </w:r>
            <w:proofErr w:type="spellStart"/>
            <w:r w:rsidR="00B4217E" w:rsidRPr="00B4217E">
              <w:rPr>
                <w:rFonts w:ascii="Times New Roman" w:hAnsi="Times New Roman"/>
                <w:b/>
                <w:i/>
                <w:sz w:val="24"/>
                <w:szCs w:val="24"/>
              </w:rPr>
              <w:t>моноклональные</w:t>
            </w:r>
            <w:proofErr w:type="spellEnd"/>
            <w:r w:rsidR="00B4217E" w:rsidRPr="00B4217E">
              <w:rPr>
                <w:rFonts w:ascii="Times New Roman" w:hAnsi="Times New Roman"/>
                <w:b/>
                <w:i/>
                <w:sz w:val="24"/>
                <w:szCs w:val="24"/>
              </w:rPr>
              <w:t xml:space="preserve"> мышиные к человеческому р53 Протеин, клон DO-7, </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Антитела мышиные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к р53, должны быть жидкие, должны быть концентрированные. Клон должен быть DO-7. Должны быть предназначены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упаковке должно быть не менее 1 мл</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шт</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20.59.52.199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549"/>
        </w:trPr>
        <w:tc>
          <w:tcPr>
            <w:tcW w:w="655" w:type="dxa"/>
          </w:tcPr>
          <w:p w:rsidR="009D427F" w:rsidRPr="009D427F" w:rsidRDefault="009D427F" w:rsidP="009D427F">
            <w:pPr>
              <w:rPr>
                <w:rFonts w:ascii="Times New Roman" w:hAnsi="Times New Roman"/>
                <w:sz w:val="24"/>
                <w:szCs w:val="24"/>
              </w:rPr>
            </w:pPr>
            <w:r w:rsidRPr="00B4217E">
              <w:rPr>
                <w:rFonts w:ascii="Times New Roman" w:hAnsi="Times New Roman"/>
                <w:sz w:val="24"/>
                <w:szCs w:val="24"/>
              </w:rPr>
              <w:t>11</w:t>
            </w:r>
          </w:p>
        </w:tc>
        <w:tc>
          <w:tcPr>
            <w:tcW w:w="2555" w:type="dxa"/>
            <w:hideMark/>
          </w:tcPr>
          <w:p w:rsidR="009D427F" w:rsidRPr="009D427F" w:rsidRDefault="009D427F" w:rsidP="00420CB7">
            <w:pPr>
              <w:rPr>
                <w:rFonts w:ascii="Times New Roman" w:hAnsi="Times New Roman"/>
                <w:b/>
                <w:i/>
                <w:sz w:val="24"/>
                <w:szCs w:val="24"/>
              </w:rPr>
            </w:pPr>
            <w:r w:rsidRPr="009D427F">
              <w:rPr>
                <w:rFonts w:ascii="Times New Roman" w:hAnsi="Times New Roman"/>
                <w:b/>
                <w:i/>
                <w:sz w:val="24"/>
                <w:szCs w:val="24"/>
              </w:rPr>
              <w:t> </w:t>
            </w:r>
            <w:r w:rsidR="00B4217E" w:rsidRPr="00B4217E">
              <w:rPr>
                <w:rFonts w:ascii="Times New Roman" w:hAnsi="Times New Roman"/>
                <w:b/>
                <w:i/>
                <w:sz w:val="24"/>
                <w:szCs w:val="24"/>
              </w:rPr>
              <w:t xml:space="preserve">Антитела </w:t>
            </w:r>
            <w:proofErr w:type="spellStart"/>
            <w:r w:rsidR="00B4217E" w:rsidRPr="00B4217E">
              <w:rPr>
                <w:rFonts w:ascii="Times New Roman" w:hAnsi="Times New Roman"/>
                <w:b/>
                <w:i/>
                <w:sz w:val="24"/>
                <w:szCs w:val="24"/>
              </w:rPr>
              <w:t>моноклональные</w:t>
            </w:r>
            <w:proofErr w:type="spellEnd"/>
            <w:r w:rsidR="00B4217E" w:rsidRPr="00B4217E">
              <w:rPr>
                <w:rFonts w:ascii="Times New Roman" w:hAnsi="Times New Roman"/>
                <w:b/>
                <w:i/>
                <w:sz w:val="24"/>
                <w:szCs w:val="24"/>
              </w:rPr>
              <w:t xml:space="preserve"> мышиные к человеческому СD20су, клон L26</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Антитела мышиные,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к человеческим CD20cy, клон L26, должны быть жидкие, должны быть концентрированные. Должны быть предназначены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упаковке должно быть не менее 1 мл.</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20.59.52.199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900"/>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t>12</w:t>
            </w:r>
          </w:p>
        </w:tc>
        <w:tc>
          <w:tcPr>
            <w:tcW w:w="2555" w:type="dxa"/>
            <w:hideMark/>
          </w:tcPr>
          <w:p w:rsidR="009D427F" w:rsidRPr="009D427F" w:rsidRDefault="009D427F" w:rsidP="00420CB7">
            <w:pPr>
              <w:rPr>
                <w:rFonts w:ascii="Times New Roman" w:hAnsi="Times New Roman"/>
                <w:b/>
                <w:i/>
                <w:sz w:val="24"/>
                <w:szCs w:val="24"/>
              </w:rPr>
            </w:pPr>
            <w:r w:rsidRPr="009D427F">
              <w:rPr>
                <w:rFonts w:ascii="Times New Roman" w:hAnsi="Times New Roman"/>
                <w:b/>
                <w:i/>
                <w:sz w:val="24"/>
                <w:szCs w:val="24"/>
              </w:rPr>
              <w:t> </w:t>
            </w:r>
            <w:r w:rsidR="00B4217E" w:rsidRPr="00B4217E">
              <w:rPr>
                <w:rFonts w:ascii="Times New Roman" w:hAnsi="Times New Roman"/>
                <w:b/>
                <w:i/>
                <w:sz w:val="24"/>
                <w:szCs w:val="24"/>
              </w:rPr>
              <w:t xml:space="preserve">Антитела мышиные </w:t>
            </w:r>
            <w:proofErr w:type="spellStart"/>
            <w:r w:rsidR="00B4217E" w:rsidRPr="00B4217E">
              <w:rPr>
                <w:rFonts w:ascii="Times New Roman" w:hAnsi="Times New Roman"/>
                <w:b/>
                <w:i/>
                <w:sz w:val="24"/>
                <w:szCs w:val="24"/>
              </w:rPr>
              <w:t>моноклональные</w:t>
            </w:r>
            <w:proofErr w:type="spellEnd"/>
            <w:r w:rsidR="00B4217E" w:rsidRPr="00B4217E">
              <w:rPr>
                <w:rFonts w:ascii="Times New Roman" w:hAnsi="Times New Roman"/>
                <w:b/>
                <w:i/>
                <w:sz w:val="24"/>
                <w:szCs w:val="24"/>
              </w:rPr>
              <w:t xml:space="preserve"> к </w:t>
            </w:r>
            <w:proofErr w:type="spellStart"/>
            <w:r w:rsidR="00B4217E" w:rsidRPr="00B4217E">
              <w:rPr>
                <w:rFonts w:ascii="Times New Roman" w:hAnsi="Times New Roman"/>
                <w:b/>
                <w:i/>
                <w:sz w:val="24"/>
                <w:szCs w:val="24"/>
              </w:rPr>
              <w:t>цитокератину</w:t>
            </w:r>
            <w:proofErr w:type="spellEnd"/>
            <w:r w:rsidR="00B4217E" w:rsidRPr="00B4217E">
              <w:rPr>
                <w:rFonts w:ascii="Times New Roman" w:hAnsi="Times New Roman"/>
                <w:b/>
                <w:i/>
                <w:sz w:val="24"/>
                <w:szCs w:val="24"/>
              </w:rPr>
              <w:t xml:space="preserve"> 5/6 клон D5/16 B4</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Антитела мышиные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к человеческим </w:t>
            </w:r>
            <w:proofErr w:type="spellStart"/>
            <w:r w:rsidRPr="009D427F">
              <w:rPr>
                <w:rFonts w:ascii="Times New Roman" w:hAnsi="Times New Roman"/>
                <w:sz w:val="24"/>
                <w:szCs w:val="24"/>
              </w:rPr>
              <w:t>цитокератин</w:t>
            </w:r>
            <w:proofErr w:type="spellEnd"/>
            <w:r w:rsidRPr="009D427F">
              <w:rPr>
                <w:rFonts w:ascii="Times New Roman" w:hAnsi="Times New Roman"/>
                <w:sz w:val="24"/>
                <w:szCs w:val="24"/>
              </w:rPr>
              <w:t xml:space="preserve"> 5/6, клон D5/16 B4, должны быть жидкие, должны быть концентрированные. Должны быть предназначены для ИГХ на </w:t>
            </w:r>
            <w:r w:rsidRPr="009D427F">
              <w:rPr>
                <w:rFonts w:ascii="Times New Roman" w:hAnsi="Times New Roman"/>
                <w:sz w:val="24"/>
                <w:szCs w:val="24"/>
              </w:rPr>
              <w:lastRenderedPageBreak/>
              <w:t xml:space="preserve">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упаковке должно быть не менее 1 мл.</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lastRenderedPageBreak/>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20.59.52.199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2249"/>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lastRenderedPageBreak/>
              <w:t>13</w:t>
            </w:r>
          </w:p>
        </w:tc>
        <w:tc>
          <w:tcPr>
            <w:tcW w:w="2555" w:type="dxa"/>
            <w:hideMark/>
          </w:tcPr>
          <w:p w:rsidR="009D427F" w:rsidRPr="009D427F" w:rsidRDefault="009D427F" w:rsidP="009D427F">
            <w:pPr>
              <w:rPr>
                <w:rFonts w:ascii="Times New Roman" w:hAnsi="Times New Roman"/>
                <w:b/>
                <w:i/>
                <w:sz w:val="24"/>
                <w:szCs w:val="24"/>
              </w:rPr>
            </w:pPr>
            <w:proofErr w:type="spellStart"/>
            <w:r w:rsidRPr="009D427F">
              <w:rPr>
                <w:rFonts w:ascii="Times New Roman" w:hAnsi="Times New Roman"/>
                <w:b/>
                <w:i/>
                <w:sz w:val="24"/>
                <w:szCs w:val="24"/>
              </w:rPr>
              <w:t>Тирозиназа</w:t>
            </w:r>
            <w:proofErr w:type="spellEnd"/>
            <w:r w:rsidRPr="009D427F">
              <w:rPr>
                <w:rFonts w:ascii="Times New Roman" w:hAnsi="Times New Roman"/>
                <w:b/>
                <w:i/>
                <w:sz w:val="24"/>
                <w:szCs w:val="24"/>
              </w:rPr>
              <w:t xml:space="preserve"> ИВД, антитела </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Один или множество иммуноглобулинов, способных связываться со специфическими антигенными детерминантами, предназначенные для использования при качественном и/или количественном определении </w:t>
            </w:r>
            <w:proofErr w:type="spellStart"/>
            <w:r w:rsidRPr="009D427F">
              <w:rPr>
                <w:rFonts w:ascii="Times New Roman" w:hAnsi="Times New Roman"/>
                <w:sz w:val="24"/>
                <w:szCs w:val="24"/>
              </w:rPr>
              <w:t>тирозиназы</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tyrosinase</w:t>
            </w:r>
            <w:proofErr w:type="spellEnd"/>
            <w:r w:rsidRPr="009D427F">
              <w:rPr>
                <w:rFonts w:ascii="Times New Roman" w:hAnsi="Times New Roman"/>
                <w:sz w:val="24"/>
                <w:szCs w:val="24"/>
              </w:rPr>
              <w:t xml:space="preserve">), также известной как DOPA-оксидаза (DOPA </w:t>
            </w:r>
            <w:proofErr w:type="spellStart"/>
            <w:r w:rsidRPr="009D427F">
              <w:rPr>
                <w:rFonts w:ascii="Times New Roman" w:hAnsi="Times New Roman"/>
                <w:sz w:val="24"/>
                <w:szCs w:val="24"/>
              </w:rPr>
              <w:t>oxidase</w:t>
            </w:r>
            <w:proofErr w:type="spellEnd"/>
            <w:r w:rsidRPr="009D427F">
              <w:rPr>
                <w:rFonts w:ascii="Times New Roman" w:hAnsi="Times New Roman"/>
                <w:sz w:val="24"/>
                <w:szCs w:val="24"/>
              </w:rPr>
              <w:t>) в клиническом образце.</w:t>
            </w:r>
            <w:r w:rsidRPr="009D427F">
              <w:rPr>
                <w:rFonts w:ascii="Times New Roman" w:hAnsi="Times New Roman"/>
                <w:sz w:val="24"/>
                <w:szCs w:val="24"/>
              </w:rPr>
              <w:br/>
              <w:t>Количество выполняемых тестов:</w:t>
            </w:r>
            <w:r w:rsidRPr="009D427F">
              <w:rPr>
                <w:rFonts w:ascii="Times New Roman" w:hAnsi="Times New Roman"/>
                <w:sz w:val="24"/>
                <w:szCs w:val="24"/>
              </w:rPr>
              <w:br/>
              <w:t xml:space="preserve"> ≥ 10  Штука </w:t>
            </w:r>
            <w:r w:rsidRPr="009D427F">
              <w:rPr>
                <w:rFonts w:ascii="Times New Roman" w:hAnsi="Times New Roman"/>
                <w:sz w:val="24"/>
                <w:szCs w:val="24"/>
              </w:rPr>
              <w:br/>
              <w:t>Назначение:</w:t>
            </w:r>
            <w:r w:rsidRPr="009D427F">
              <w:rPr>
                <w:rFonts w:ascii="Times New Roman" w:hAnsi="Times New Roman"/>
                <w:sz w:val="24"/>
                <w:szCs w:val="24"/>
              </w:rPr>
              <w:br/>
              <w:t xml:space="preserve"> Для автоматической и ручной постановки. </w:t>
            </w:r>
            <w:r w:rsidRPr="009D427F">
              <w:rPr>
                <w:rFonts w:ascii="Times New Roman" w:hAnsi="Times New Roman"/>
                <w:sz w:val="24"/>
                <w:szCs w:val="24"/>
              </w:rPr>
              <w:br/>
              <w:t xml:space="preserve">*Должны быть предназначены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соответствии с приказом Минздрава России от 24.03.2016 N 179н (ред. от 25.03.2019) "О Правилах проведения патолого-анатомических исследований" (Зарегистрировано в Минюсте России 14.04.2016 N 41799), с дополнением от 25.03.2019 года.  Пункт 17.1. )</w:t>
            </w:r>
            <w:r w:rsidRPr="009D427F">
              <w:rPr>
                <w:rFonts w:ascii="Times New Roman" w:hAnsi="Times New Roman"/>
                <w:sz w:val="24"/>
                <w:szCs w:val="24"/>
              </w:rPr>
              <w:br/>
              <w:t xml:space="preserve">Антитела должны быть жидкие концентрированные для обеспечения проведения большого объема </w:t>
            </w:r>
            <w:r w:rsidRPr="009D427F">
              <w:rPr>
                <w:rFonts w:ascii="Times New Roman" w:hAnsi="Times New Roman"/>
                <w:sz w:val="24"/>
                <w:szCs w:val="24"/>
              </w:rPr>
              <w:lastRenderedPageBreak/>
              <w:t>исследований за счет концентрации.</w:t>
            </w:r>
          </w:p>
        </w:tc>
        <w:tc>
          <w:tcPr>
            <w:tcW w:w="788"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lastRenderedPageBreak/>
              <w:t>набор</w:t>
            </w:r>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21.20.23.110-00008239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900"/>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lastRenderedPageBreak/>
              <w:t>14</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 </w:t>
            </w:r>
            <w:r w:rsidR="00B4217E" w:rsidRPr="00B4217E">
              <w:rPr>
                <w:rFonts w:ascii="Times New Roman" w:hAnsi="Times New Roman"/>
                <w:b/>
                <w:i/>
                <w:sz w:val="24"/>
                <w:szCs w:val="24"/>
              </w:rPr>
              <w:t xml:space="preserve">Антитела </w:t>
            </w:r>
            <w:proofErr w:type="spellStart"/>
            <w:r w:rsidR="00B4217E" w:rsidRPr="00B4217E">
              <w:rPr>
                <w:rFonts w:ascii="Times New Roman" w:hAnsi="Times New Roman"/>
                <w:b/>
                <w:i/>
                <w:sz w:val="24"/>
                <w:szCs w:val="24"/>
              </w:rPr>
              <w:t>поликлональные</w:t>
            </w:r>
            <w:proofErr w:type="spellEnd"/>
            <w:r w:rsidR="00B4217E" w:rsidRPr="00B4217E">
              <w:rPr>
                <w:rFonts w:ascii="Times New Roman" w:hAnsi="Times New Roman"/>
                <w:b/>
                <w:i/>
                <w:sz w:val="24"/>
                <w:szCs w:val="24"/>
              </w:rPr>
              <w:t xml:space="preserve"> кроличьи к человеческим CD117, c-</w:t>
            </w:r>
            <w:proofErr w:type="spellStart"/>
            <w:r w:rsidR="00B4217E" w:rsidRPr="00B4217E">
              <w:rPr>
                <w:rFonts w:ascii="Times New Roman" w:hAnsi="Times New Roman"/>
                <w:b/>
                <w:i/>
                <w:sz w:val="24"/>
                <w:szCs w:val="24"/>
              </w:rPr>
              <w:t>kit</w:t>
            </w:r>
            <w:proofErr w:type="spellEnd"/>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Антитела кроличьи, </w:t>
            </w:r>
            <w:proofErr w:type="spellStart"/>
            <w:r w:rsidRPr="009D427F">
              <w:rPr>
                <w:rFonts w:ascii="Times New Roman" w:hAnsi="Times New Roman"/>
                <w:sz w:val="24"/>
                <w:szCs w:val="24"/>
              </w:rPr>
              <w:t>поликлональные</w:t>
            </w:r>
            <w:proofErr w:type="spellEnd"/>
            <w:r w:rsidRPr="009D427F">
              <w:rPr>
                <w:rFonts w:ascii="Times New Roman" w:hAnsi="Times New Roman"/>
                <w:sz w:val="24"/>
                <w:szCs w:val="24"/>
              </w:rPr>
              <w:t xml:space="preserve"> к человеческим CD117, c-</w:t>
            </w:r>
            <w:proofErr w:type="spellStart"/>
            <w:r w:rsidRPr="009D427F">
              <w:rPr>
                <w:rFonts w:ascii="Times New Roman" w:hAnsi="Times New Roman"/>
                <w:sz w:val="24"/>
                <w:szCs w:val="24"/>
              </w:rPr>
              <w:t>kit</w:t>
            </w:r>
            <w:proofErr w:type="spellEnd"/>
            <w:r w:rsidRPr="009D427F">
              <w:rPr>
                <w:rFonts w:ascii="Times New Roman" w:hAnsi="Times New Roman"/>
                <w:sz w:val="24"/>
                <w:szCs w:val="24"/>
              </w:rPr>
              <w:t xml:space="preserve">, должны быть жидкие, должны быть концентрированные. Должны быть предназначены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В упаковке должно быть не менее 0,2 мл.</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20.59.52.199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1125"/>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t>15</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 </w:t>
            </w:r>
            <w:proofErr w:type="spellStart"/>
            <w:r w:rsidR="00B4217E" w:rsidRPr="00B4217E">
              <w:rPr>
                <w:rFonts w:ascii="Times New Roman" w:hAnsi="Times New Roman"/>
                <w:b/>
                <w:i/>
                <w:sz w:val="24"/>
                <w:szCs w:val="24"/>
              </w:rPr>
              <w:t>Моноклональные</w:t>
            </w:r>
            <w:proofErr w:type="spellEnd"/>
            <w:r w:rsidR="00B4217E" w:rsidRPr="00B4217E">
              <w:rPr>
                <w:rFonts w:ascii="Times New Roman" w:hAnsi="Times New Roman"/>
                <w:b/>
                <w:i/>
                <w:sz w:val="24"/>
                <w:szCs w:val="24"/>
              </w:rPr>
              <w:t xml:space="preserve"> мышиные антитела к CD 10  NCL-L-CD10-270</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Антитела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мышиные к CD10, должны быть предназначены для </w:t>
            </w:r>
            <w:proofErr w:type="spellStart"/>
            <w:r w:rsidRPr="009D427F">
              <w:rPr>
                <w:rFonts w:ascii="Times New Roman" w:hAnsi="Times New Roman"/>
                <w:sz w:val="24"/>
                <w:szCs w:val="24"/>
              </w:rPr>
              <w:t>иммуногистохимических</w:t>
            </w:r>
            <w:proofErr w:type="spellEnd"/>
            <w:r w:rsidRPr="009D427F">
              <w:rPr>
                <w:rFonts w:ascii="Times New Roman" w:hAnsi="Times New Roman"/>
                <w:sz w:val="24"/>
                <w:szCs w:val="24"/>
              </w:rPr>
              <w:t xml:space="preserve"> исследований на парафиновых и замороженных срезах, клон 56C6, должен быть жидкой концентрированной формы, рабочее разведение должно быть в диапазоне не менее 1:100, включая границы диапазона. Фасовка должна быть не менее 1 мл.</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20.59.52.199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2250"/>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lastRenderedPageBreak/>
              <w:t>16</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 xml:space="preserve">CD138 клеточный маркер ИВД, антитела </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клеточного маркера CD138 (CD138 </w:t>
            </w:r>
            <w:proofErr w:type="spellStart"/>
            <w:r w:rsidRPr="009D427F">
              <w:rPr>
                <w:rFonts w:ascii="Times New Roman" w:hAnsi="Times New Roman"/>
                <w:sz w:val="24"/>
                <w:szCs w:val="24"/>
              </w:rPr>
              <w:t>cell</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marker</w:t>
            </w:r>
            <w:proofErr w:type="spellEnd"/>
            <w:r w:rsidRPr="009D427F">
              <w:rPr>
                <w:rFonts w:ascii="Times New Roman" w:hAnsi="Times New Roman"/>
                <w:sz w:val="24"/>
                <w:szCs w:val="24"/>
              </w:rPr>
              <w:t>) в клиническом образце</w:t>
            </w:r>
            <w:r w:rsidRPr="009D427F">
              <w:rPr>
                <w:rFonts w:ascii="Times New Roman" w:hAnsi="Times New Roman"/>
                <w:sz w:val="24"/>
                <w:szCs w:val="24"/>
              </w:rPr>
              <w:br/>
              <w:t>Метод</w:t>
            </w:r>
            <w:r w:rsidRPr="009D427F">
              <w:rPr>
                <w:rFonts w:ascii="Times New Roman" w:hAnsi="Times New Roman"/>
                <w:sz w:val="24"/>
                <w:szCs w:val="24"/>
              </w:rPr>
              <w:br/>
              <w:t xml:space="preserve"> Проточная </w:t>
            </w:r>
            <w:proofErr w:type="spellStart"/>
            <w:r w:rsidRPr="009D427F">
              <w:rPr>
                <w:rFonts w:ascii="Times New Roman" w:hAnsi="Times New Roman"/>
                <w:sz w:val="24"/>
                <w:szCs w:val="24"/>
              </w:rPr>
              <w:t>цитометрия</w:t>
            </w:r>
            <w:proofErr w:type="spellEnd"/>
            <w:r w:rsidRPr="009D427F">
              <w:rPr>
                <w:rFonts w:ascii="Times New Roman" w:hAnsi="Times New Roman"/>
                <w:sz w:val="24"/>
                <w:szCs w:val="24"/>
              </w:rPr>
              <w:t xml:space="preserve"> </w:t>
            </w:r>
            <w:r w:rsidRPr="009D427F">
              <w:rPr>
                <w:rFonts w:ascii="Times New Roman" w:hAnsi="Times New Roman"/>
                <w:sz w:val="24"/>
                <w:szCs w:val="24"/>
              </w:rPr>
              <w:br/>
              <w:t>Объем реагента</w:t>
            </w:r>
            <w:r w:rsidRPr="009D427F">
              <w:rPr>
                <w:rFonts w:ascii="Times New Roman" w:hAnsi="Times New Roman"/>
                <w:sz w:val="24"/>
                <w:szCs w:val="24"/>
              </w:rPr>
              <w:br/>
              <w:t xml:space="preserve"> ≥ 1  Кубический сантиметр;^миллилитр </w:t>
            </w:r>
            <w:r w:rsidRPr="009D427F">
              <w:rPr>
                <w:rFonts w:ascii="Times New Roman" w:hAnsi="Times New Roman"/>
                <w:sz w:val="24"/>
                <w:szCs w:val="24"/>
              </w:rPr>
              <w:br/>
              <w:t>*Антитела должны быть жидкие концентрированные для обеспечения проведения большого объема исследований за счет концентрации.</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21.20.23.110-00000690</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4092"/>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lastRenderedPageBreak/>
              <w:t>17</w:t>
            </w:r>
          </w:p>
        </w:tc>
        <w:tc>
          <w:tcPr>
            <w:tcW w:w="2555" w:type="dxa"/>
            <w:hideMark/>
          </w:tcPr>
          <w:p w:rsidR="009D427F" w:rsidRPr="009D427F" w:rsidRDefault="009D427F" w:rsidP="009D427F">
            <w:pPr>
              <w:rPr>
                <w:rFonts w:ascii="Times New Roman" w:hAnsi="Times New Roman"/>
                <w:b/>
                <w:i/>
                <w:sz w:val="24"/>
                <w:szCs w:val="24"/>
              </w:rPr>
            </w:pPr>
            <w:proofErr w:type="spellStart"/>
            <w:r w:rsidRPr="009D427F">
              <w:rPr>
                <w:rFonts w:ascii="Times New Roman" w:hAnsi="Times New Roman"/>
                <w:b/>
                <w:i/>
                <w:sz w:val="24"/>
                <w:szCs w:val="24"/>
              </w:rPr>
              <w:t>Цитокератин</w:t>
            </w:r>
            <w:proofErr w:type="spellEnd"/>
            <w:r w:rsidRPr="009D427F">
              <w:rPr>
                <w:rFonts w:ascii="Times New Roman" w:hAnsi="Times New Roman"/>
                <w:b/>
                <w:i/>
                <w:sz w:val="24"/>
                <w:szCs w:val="24"/>
              </w:rPr>
              <w:t xml:space="preserve"> подтип СК8 ИВД, антитела</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Одно или множество антител, способных связываться со специфическими антигенными детерминантами, предназначенных для использования при качественном и/или количественном определении </w:t>
            </w:r>
            <w:proofErr w:type="spellStart"/>
            <w:r w:rsidRPr="009D427F">
              <w:rPr>
                <w:rFonts w:ascii="Times New Roman" w:hAnsi="Times New Roman"/>
                <w:sz w:val="24"/>
                <w:szCs w:val="24"/>
              </w:rPr>
              <w:t>цитокератина</w:t>
            </w:r>
            <w:proofErr w:type="spellEnd"/>
            <w:r w:rsidRPr="009D427F">
              <w:rPr>
                <w:rFonts w:ascii="Times New Roman" w:hAnsi="Times New Roman"/>
                <w:sz w:val="24"/>
                <w:szCs w:val="24"/>
              </w:rPr>
              <w:t xml:space="preserve"> подтипа СК8 (</w:t>
            </w:r>
            <w:proofErr w:type="spellStart"/>
            <w:r w:rsidRPr="009D427F">
              <w:rPr>
                <w:rFonts w:ascii="Times New Roman" w:hAnsi="Times New Roman"/>
                <w:sz w:val="24"/>
                <w:szCs w:val="24"/>
              </w:rPr>
              <w:t>cytokeratin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subtype</w:t>
            </w:r>
            <w:proofErr w:type="spellEnd"/>
            <w:r w:rsidRPr="009D427F">
              <w:rPr>
                <w:rFonts w:ascii="Times New Roman" w:hAnsi="Times New Roman"/>
                <w:sz w:val="24"/>
                <w:szCs w:val="24"/>
              </w:rPr>
              <w:t xml:space="preserve"> CK8) в клиническом образце.</w:t>
            </w:r>
            <w:r w:rsidRPr="009D427F">
              <w:rPr>
                <w:rFonts w:ascii="Times New Roman" w:hAnsi="Times New Roman"/>
                <w:sz w:val="24"/>
                <w:szCs w:val="24"/>
              </w:rPr>
              <w:br/>
              <w:t>Количество выполняемых тестов:</w:t>
            </w:r>
            <w:r w:rsidRPr="009D427F">
              <w:rPr>
                <w:rFonts w:ascii="Times New Roman" w:hAnsi="Times New Roman"/>
                <w:sz w:val="24"/>
                <w:szCs w:val="24"/>
              </w:rPr>
              <w:br/>
              <w:t xml:space="preserve"> ≥ 100  Штука </w:t>
            </w:r>
            <w:r w:rsidRPr="009D427F">
              <w:rPr>
                <w:rFonts w:ascii="Times New Roman" w:hAnsi="Times New Roman"/>
                <w:sz w:val="24"/>
                <w:szCs w:val="24"/>
              </w:rPr>
              <w:br/>
              <w:t>Назначение:</w:t>
            </w:r>
            <w:r w:rsidRPr="009D427F">
              <w:rPr>
                <w:rFonts w:ascii="Times New Roman" w:hAnsi="Times New Roman"/>
                <w:sz w:val="24"/>
                <w:szCs w:val="24"/>
              </w:rPr>
              <w:br/>
              <w:t xml:space="preserve"> Для автоматической и ручной постановки </w:t>
            </w:r>
            <w:r w:rsidRPr="009D427F">
              <w:rPr>
                <w:rFonts w:ascii="Times New Roman" w:hAnsi="Times New Roman"/>
                <w:sz w:val="24"/>
                <w:szCs w:val="24"/>
              </w:rPr>
              <w:br/>
              <w:t xml:space="preserve">*Первичные антитела (мышиные </w:t>
            </w:r>
            <w:proofErr w:type="spellStart"/>
            <w:r w:rsidRPr="009D427F">
              <w:rPr>
                <w:rFonts w:ascii="Times New Roman" w:hAnsi="Times New Roman"/>
                <w:sz w:val="24"/>
                <w:szCs w:val="24"/>
              </w:rPr>
              <w:t>моноклональные</w:t>
            </w:r>
            <w:proofErr w:type="spellEnd"/>
            <w:r w:rsidRPr="009D427F">
              <w:rPr>
                <w:rFonts w:ascii="Times New Roman" w:hAnsi="Times New Roman"/>
                <w:sz w:val="24"/>
                <w:szCs w:val="24"/>
              </w:rPr>
              <w:t xml:space="preserve">) должен иметь клон  35betaH11, согласно методике проводимого исследования. Отработанный протокол исследований, реализует возможность точного анализа препаратов для проведения исследования и постановки диагноза. </w:t>
            </w:r>
            <w:r w:rsidRPr="009D427F">
              <w:rPr>
                <w:rFonts w:ascii="Times New Roman" w:hAnsi="Times New Roman"/>
                <w:sz w:val="24"/>
                <w:szCs w:val="24"/>
              </w:rPr>
              <w:br/>
              <w:t xml:space="preserve">Предназначены для проведения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диагностики методом </w:t>
            </w:r>
            <w:proofErr w:type="spellStart"/>
            <w:r w:rsidRPr="009D427F">
              <w:rPr>
                <w:rFonts w:ascii="Times New Roman" w:hAnsi="Times New Roman"/>
                <w:sz w:val="24"/>
                <w:szCs w:val="24"/>
              </w:rPr>
              <w:t>иммуногистохимического</w:t>
            </w:r>
            <w:proofErr w:type="spellEnd"/>
            <w:r w:rsidRPr="009D427F">
              <w:rPr>
                <w:rFonts w:ascii="Times New Roman" w:hAnsi="Times New Roman"/>
                <w:sz w:val="24"/>
                <w:szCs w:val="24"/>
              </w:rPr>
              <w:t xml:space="preserve"> анализа на парафиновых срезах фиксированного в формалине материала (в соответствии с приказом Минздрава России от 24.03.2016 N 179н (ред. от 25.03.2019) "О Правилах проведения патолого-анатомических исследований" </w:t>
            </w:r>
            <w:r w:rsidRPr="009D427F">
              <w:rPr>
                <w:rFonts w:ascii="Times New Roman" w:hAnsi="Times New Roman"/>
                <w:sz w:val="24"/>
                <w:szCs w:val="24"/>
              </w:rPr>
              <w:lastRenderedPageBreak/>
              <w:t>(Зарегистрировано в Минюсте России 14.04.2016 N 41799), с дополнением от 25.03.2019 года.  Пункт 17.1. ).</w:t>
            </w:r>
            <w:r w:rsidRPr="009D427F">
              <w:rPr>
                <w:rFonts w:ascii="Times New Roman" w:hAnsi="Times New Roman"/>
                <w:sz w:val="24"/>
                <w:szCs w:val="24"/>
              </w:rPr>
              <w:br/>
              <w:t>Рекомендуемое разведение не менее 1:100 - 1:500. Обеспечение проведения большого объема исследований за счет концентрации и разведения.</w:t>
            </w:r>
            <w:r w:rsidRPr="009D427F">
              <w:rPr>
                <w:rFonts w:ascii="Times New Roman" w:hAnsi="Times New Roman"/>
                <w:sz w:val="24"/>
                <w:szCs w:val="24"/>
              </w:rPr>
              <w:br/>
              <w:t>Фасовка должна быть не менее чем 1 мл. Объем обусловлен потребностью заказчика для  обеспечения бесперебойной работы оборудования, используемого Заказчиком.</w:t>
            </w:r>
            <w:r w:rsidRPr="009D427F">
              <w:rPr>
                <w:rFonts w:ascii="Times New Roman" w:hAnsi="Times New Roman"/>
                <w:sz w:val="24"/>
                <w:szCs w:val="24"/>
              </w:rPr>
              <w:br/>
              <w:t>Антитела должны быть жидкие концентрированные для обеспечения проведения большого объема исследований за счет концентрации.</w:t>
            </w:r>
          </w:p>
        </w:tc>
        <w:tc>
          <w:tcPr>
            <w:tcW w:w="788"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lastRenderedPageBreak/>
              <w:t>набор</w:t>
            </w:r>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21.20.23.110-00009173</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7425"/>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lastRenderedPageBreak/>
              <w:t>18</w:t>
            </w:r>
          </w:p>
        </w:tc>
        <w:tc>
          <w:tcPr>
            <w:tcW w:w="2555" w:type="dxa"/>
            <w:hideMark/>
          </w:tcPr>
          <w:p w:rsidR="009D427F" w:rsidRPr="009D427F" w:rsidRDefault="009D427F" w:rsidP="009D427F">
            <w:pPr>
              <w:rPr>
                <w:rFonts w:ascii="Times New Roman" w:hAnsi="Times New Roman"/>
                <w:b/>
                <w:i/>
                <w:sz w:val="24"/>
                <w:szCs w:val="24"/>
              </w:rPr>
            </w:pPr>
            <w:proofErr w:type="spellStart"/>
            <w:r w:rsidRPr="009D427F">
              <w:rPr>
                <w:rFonts w:ascii="Times New Roman" w:hAnsi="Times New Roman"/>
                <w:b/>
                <w:i/>
                <w:sz w:val="24"/>
                <w:szCs w:val="24"/>
              </w:rPr>
              <w:t>Лиганд</w:t>
            </w:r>
            <w:proofErr w:type="spellEnd"/>
            <w:r w:rsidRPr="009D427F">
              <w:rPr>
                <w:rFonts w:ascii="Times New Roman" w:hAnsi="Times New Roman"/>
                <w:b/>
                <w:i/>
                <w:sz w:val="24"/>
                <w:szCs w:val="24"/>
              </w:rPr>
              <w:t xml:space="preserve"> программируемой смерти клеток 1 ИВД, набор, </w:t>
            </w:r>
            <w:proofErr w:type="spellStart"/>
            <w:r w:rsidRPr="009D427F">
              <w:rPr>
                <w:rFonts w:ascii="Times New Roman" w:hAnsi="Times New Roman"/>
                <w:b/>
                <w:i/>
                <w:sz w:val="24"/>
                <w:szCs w:val="24"/>
              </w:rPr>
              <w:t>иммуногистохимическая</w:t>
            </w:r>
            <w:proofErr w:type="spellEnd"/>
            <w:r w:rsidRPr="009D427F">
              <w:rPr>
                <w:rFonts w:ascii="Times New Roman" w:hAnsi="Times New Roman"/>
                <w:b/>
                <w:i/>
                <w:sz w:val="24"/>
                <w:szCs w:val="24"/>
              </w:rPr>
              <w:t xml:space="preserve"> реакция с ферментной меткой </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Набор реагентов и других связанных с ними материалов, предназначенный для качественного и/или количественного определения </w:t>
            </w:r>
            <w:proofErr w:type="spellStart"/>
            <w:r w:rsidRPr="009D427F">
              <w:rPr>
                <w:rFonts w:ascii="Times New Roman" w:hAnsi="Times New Roman"/>
                <w:sz w:val="24"/>
                <w:szCs w:val="24"/>
              </w:rPr>
              <w:t>лиганда</w:t>
            </w:r>
            <w:proofErr w:type="spellEnd"/>
            <w:r w:rsidRPr="009D427F">
              <w:rPr>
                <w:rFonts w:ascii="Times New Roman" w:hAnsi="Times New Roman"/>
                <w:sz w:val="24"/>
                <w:szCs w:val="24"/>
              </w:rPr>
              <w:t xml:space="preserve"> программируемой смерти клеток 1 (</w:t>
            </w:r>
            <w:proofErr w:type="spellStart"/>
            <w:r w:rsidRPr="009D427F">
              <w:rPr>
                <w:rFonts w:ascii="Times New Roman" w:hAnsi="Times New Roman"/>
                <w:sz w:val="24"/>
                <w:szCs w:val="24"/>
              </w:rPr>
              <w:t>programmed</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death-ligand</w:t>
            </w:r>
            <w:proofErr w:type="spellEnd"/>
            <w:r w:rsidRPr="009D427F">
              <w:rPr>
                <w:rFonts w:ascii="Times New Roman" w:hAnsi="Times New Roman"/>
                <w:sz w:val="24"/>
                <w:szCs w:val="24"/>
              </w:rPr>
              <w:t xml:space="preserve"> 1 (PD-L1)) в клиническом образце методом ферментного </w:t>
            </w:r>
            <w:proofErr w:type="spellStart"/>
            <w:r w:rsidRPr="009D427F">
              <w:rPr>
                <w:rFonts w:ascii="Times New Roman" w:hAnsi="Times New Roman"/>
                <w:sz w:val="24"/>
                <w:szCs w:val="24"/>
              </w:rPr>
              <w:t>иммуногистохимического</w:t>
            </w:r>
            <w:proofErr w:type="spellEnd"/>
            <w:r w:rsidRPr="009D427F">
              <w:rPr>
                <w:rFonts w:ascii="Times New Roman" w:hAnsi="Times New Roman"/>
                <w:sz w:val="24"/>
                <w:szCs w:val="24"/>
              </w:rPr>
              <w:t xml:space="preserve"> окрашивания. </w:t>
            </w:r>
            <w:r w:rsidRPr="009D427F">
              <w:rPr>
                <w:rFonts w:ascii="Times New Roman" w:hAnsi="Times New Roman"/>
                <w:sz w:val="24"/>
                <w:szCs w:val="24"/>
              </w:rPr>
              <w:br/>
              <w:t>В составе набора должны входить:</w:t>
            </w:r>
            <w:r w:rsidRPr="009D427F">
              <w:rPr>
                <w:rFonts w:ascii="Times New Roman" w:hAnsi="Times New Roman"/>
                <w:sz w:val="24"/>
                <w:szCs w:val="24"/>
              </w:rPr>
              <w:br/>
              <w:t xml:space="preserve">1.   1 x 34,5 мл  реагент блокирующий </w:t>
            </w:r>
            <w:proofErr w:type="spellStart"/>
            <w:r w:rsidRPr="009D427F">
              <w:rPr>
                <w:rFonts w:ascii="Times New Roman" w:hAnsi="Times New Roman"/>
                <w:sz w:val="24"/>
                <w:szCs w:val="24"/>
              </w:rPr>
              <w:t>пероксидазу</w:t>
            </w:r>
            <w:proofErr w:type="spellEnd"/>
            <w:r w:rsidRPr="009D427F">
              <w:rPr>
                <w:rFonts w:ascii="Times New Roman" w:hAnsi="Times New Roman"/>
                <w:sz w:val="24"/>
                <w:szCs w:val="24"/>
              </w:rPr>
              <w:t xml:space="preserve"> (Буферный раствор, содержащий перекись водорода, детергент и 0,015 моль/л азида натрия)</w:t>
            </w:r>
            <w:r w:rsidRPr="009D427F">
              <w:rPr>
                <w:rFonts w:ascii="Times New Roman" w:hAnsi="Times New Roman"/>
                <w:sz w:val="24"/>
                <w:szCs w:val="24"/>
              </w:rPr>
              <w:br/>
              <w:t xml:space="preserve">2.   1 x 19,5 мл  антитело </w:t>
            </w:r>
            <w:proofErr w:type="spellStart"/>
            <w:r w:rsidRPr="009D427F">
              <w:rPr>
                <w:rFonts w:ascii="Times New Roman" w:hAnsi="Times New Roman"/>
                <w:sz w:val="24"/>
                <w:szCs w:val="24"/>
              </w:rPr>
              <w:t>моноклональное</w:t>
            </w:r>
            <w:proofErr w:type="spellEnd"/>
            <w:r w:rsidRPr="009D427F">
              <w:rPr>
                <w:rFonts w:ascii="Times New Roman" w:hAnsi="Times New Roman"/>
                <w:sz w:val="24"/>
                <w:szCs w:val="24"/>
              </w:rPr>
              <w:t xml:space="preserve">  КPD-L1 мышиное, клон 22C3</w:t>
            </w:r>
            <w:r w:rsidRPr="009D427F">
              <w:rPr>
                <w:rFonts w:ascii="Times New Roman" w:hAnsi="Times New Roman"/>
                <w:sz w:val="24"/>
                <w:szCs w:val="24"/>
              </w:rPr>
              <w:br/>
              <w:t xml:space="preserve">3. 1 x 15 мл  реагент отрицательного контроля (Мышиное </w:t>
            </w:r>
            <w:proofErr w:type="spellStart"/>
            <w:r w:rsidRPr="009D427F">
              <w:rPr>
                <w:rFonts w:ascii="Times New Roman" w:hAnsi="Times New Roman"/>
                <w:sz w:val="24"/>
                <w:szCs w:val="24"/>
              </w:rPr>
              <w:t>моноклональное</w:t>
            </w:r>
            <w:proofErr w:type="spellEnd"/>
            <w:r w:rsidRPr="009D427F">
              <w:rPr>
                <w:rFonts w:ascii="Times New Roman" w:hAnsi="Times New Roman"/>
                <w:sz w:val="24"/>
                <w:szCs w:val="24"/>
              </w:rPr>
              <w:t xml:space="preserve"> контрольное антитело </w:t>
            </w:r>
            <w:proofErr w:type="spellStart"/>
            <w:r w:rsidRPr="009D427F">
              <w:rPr>
                <w:rFonts w:ascii="Times New Roman" w:hAnsi="Times New Roman"/>
                <w:sz w:val="24"/>
                <w:szCs w:val="24"/>
              </w:rPr>
              <w:t>IgG</w:t>
            </w:r>
            <w:proofErr w:type="spellEnd"/>
            <w:r w:rsidRPr="009D427F">
              <w:rPr>
                <w:rFonts w:ascii="Times New Roman" w:hAnsi="Times New Roman"/>
                <w:sz w:val="24"/>
                <w:szCs w:val="24"/>
              </w:rPr>
              <w:t xml:space="preserve"> в буферном растворе, содержащем стабилизирующий белок и 0,015 моль азида натрия.)</w:t>
            </w:r>
            <w:r w:rsidRPr="009D427F">
              <w:rPr>
                <w:rFonts w:ascii="Times New Roman" w:hAnsi="Times New Roman"/>
                <w:sz w:val="24"/>
                <w:szCs w:val="24"/>
              </w:rPr>
              <w:br/>
              <w:t xml:space="preserve">4. 1 x 34,5 мл ЛИНКЕР, </w:t>
            </w:r>
            <w:proofErr w:type="spellStart"/>
            <w:r w:rsidRPr="009D427F">
              <w:rPr>
                <w:rFonts w:ascii="Times New Roman" w:hAnsi="Times New Roman"/>
                <w:sz w:val="24"/>
                <w:szCs w:val="24"/>
              </w:rPr>
              <w:t>антимышиный</w:t>
            </w:r>
            <w:proofErr w:type="spellEnd"/>
            <w:r w:rsidRPr="009D427F">
              <w:rPr>
                <w:rFonts w:ascii="Times New Roman" w:hAnsi="Times New Roman"/>
                <w:sz w:val="24"/>
                <w:szCs w:val="24"/>
              </w:rPr>
              <w:t xml:space="preserve"> (Кроличье вторичное антитело против мышиных иммуноглобулинов в буферном растворе, содержащем </w:t>
            </w:r>
            <w:proofErr w:type="spellStart"/>
            <w:r w:rsidRPr="009D427F">
              <w:rPr>
                <w:rFonts w:ascii="Times New Roman" w:hAnsi="Times New Roman"/>
                <w:sz w:val="24"/>
                <w:szCs w:val="24"/>
              </w:rPr>
              <w:t>стабилизирующийбелок</w:t>
            </w:r>
            <w:proofErr w:type="spellEnd"/>
            <w:r w:rsidRPr="009D427F">
              <w:rPr>
                <w:rFonts w:ascii="Times New Roman" w:hAnsi="Times New Roman"/>
                <w:sz w:val="24"/>
                <w:szCs w:val="24"/>
              </w:rPr>
              <w:t xml:space="preserve"> и 0,015 моль азида натрия.</w:t>
            </w:r>
            <w:r w:rsidRPr="009D427F">
              <w:rPr>
                <w:rFonts w:ascii="Times New Roman" w:hAnsi="Times New Roman"/>
                <w:sz w:val="24"/>
                <w:szCs w:val="24"/>
              </w:rPr>
              <w:br/>
              <w:t xml:space="preserve">5.  1 x 34,5 мл   Реагент для визуализации - </w:t>
            </w:r>
            <w:proofErr w:type="spellStart"/>
            <w:r w:rsidRPr="009D427F">
              <w:rPr>
                <w:rFonts w:ascii="Times New Roman" w:hAnsi="Times New Roman"/>
                <w:sz w:val="24"/>
                <w:szCs w:val="24"/>
              </w:rPr>
              <w:t>пероксидаза</w:t>
            </w:r>
            <w:proofErr w:type="spellEnd"/>
            <w:r w:rsidRPr="009D427F">
              <w:rPr>
                <w:rFonts w:ascii="Times New Roman" w:hAnsi="Times New Roman"/>
                <w:sz w:val="24"/>
                <w:szCs w:val="24"/>
              </w:rPr>
              <w:t xml:space="preserve"> хрена </w:t>
            </w:r>
            <w:r w:rsidRPr="009D427F">
              <w:rPr>
                <w:rFonts w:ascii="Times New Roman" w:hAnsi="Times New Roman"/>
                <w:sz w:val="24"/>
                <w:szCs w:val="24"/>
              </w:rPr>
              <w:lastRenderedPageBreak/>
              <w:t xml:space="preserve">(Декстран в сочетании с молекулами </w:t>
            </w:r>
            <w:proofErr w:type="spellStart"/>
            <w:r w:rsidRPr="009D427F">
              <w:rPr>
                <w:rFonts w:ascii="Times New Roman" w:hAnsi="Times New Roman"/>
                <w:sz w:val="24"/>
                <w:szCs w:val="24"/>
              </w:rPr>
              <w:t>пероксидазы</w:t>
            </w:r>
            <w:proofErr w:type="spellEnd"/>
            <w:r w:rsidRPr="009D427F">
              <w:rPr>
                <w:rFonts w:ascii="Times New Roman" w:hAnsi="Times New Roman"/>
                <w:sz w:val="24"/>
                <w:szCs w:val="24"/>
              </w:rPr>
              <w:t xml:space="preserve"> и молекулами вторичных козьих антител против кроличьих и мышиных</w:t>
            </w:r>
            <w:r w:rsidRPr="009D427F">
              <w:rPr>
                <w:rFonts w:ascii="Times New Roman" w:hAnsi="Times New Roman"/>
                <w:sz w:val="24"/>
                <w:szCs w:val="24"/>
              </w:rPr>
              <w:br/>
              <w:t>иммуноглобулинов в буферном растворе, содержащем стабилизирующий белок и антибактериальное средство)</w:t>
            </w:r>
            <w:r w:rsidRPr="009D427F">
              <w:rPr>
                <w:rFonts w:ascii="Times New Roman" w:hAnsi="Times New Roman"/>
                <w:sz w:val="24"/>
                <w:szCs w:val="24"/>
              </w:rPr>
              <w:br/>
              <w:t xml:space="preserve">6. 15 x 7,2 мл  ДАБ+ </w:t>
            </w:r>
            <w:proofErr w:type="spellStart"/>
            <w:r w:rsidRPr="009D427F">
              <w:rPr>
                <w:rFonts w:ascii="Times New Roman" w:hAnsi="Times New Roman"/>
                <w:sz w:val="24"/>
                <w:szCs w:val="24"/>
              </w:rPr>
              <w:t>забуференный</w:t>
            </w:r>
            <w:proofErr w:type="spellEnd"/>
            <w:r w:rsidRPr="009D427F">
              <w:rPr>
                <w:rFonts w:ascii="Times New Roman" w:hAnsi="Times New Roman"/>
                <w:sz w:val="24"/>
                <w:szCs w:val="24"/>
              </w:rPr>
              <w:t xml:space="preserve"> субстрат</w:t>
            </w:r>
            <w:r w:rsidRPr="009D427F">
              <w:rPr>
                <w:rFonts w:ascii="Times New Roman" w:hAnsi="Times New Roman"/>
                <w:sz w:val="24"/>
                <w:szCs w:val="24"/>
              </w:rPr>
              <w:br/>
              <w:t xml:space="preserve">7.  1 x 5 мл ДАБ+ хромоген (3,3'-диаминобензидина </w:t>
            </w:r>
            <w:proofErr w:type="spellStart"/>
            <w:r w:rsidRPr="009D427F">
              <w:rPr>
                <w:rFonts w:ascii="Times New Roman" w:hAnsi="Times New Roman"/>
                <w:sz w:val="24"/>
                <w:szCs w:val="24"/>
              </w:rPr>
              <w:t>тетрагидрохлорид</w:t>
            </w:r>
            <w:proofErr w:type="spellEnd"/>
            <w:r w:rsidRPr="009D427F">
              <w:rPr>
                <w:rFonts w:ascii="Times New Roman" w:hAnsi="Times New Roman"/>
                <w:sz w:val="24"/>
                <w:szCs w:val="24"/>
              </w:rPr>
              <w:t xml:space="preserve"> в органическом растворителе)</w:t>
            </w:r>
            <w:r w:rsidRPr="009D427F">
              <w:rPr>
                <w:rFonts w:ascii="Times New Roman" w:hAnsi="Times New Roman"/>
                <w:sz w:val="24"/>
                <w:szCs w:val="24"/>
              </w:rPr>
              <w:br/>
              <w:t>8. 1 x 34,5 мл Усилитель ДАБ (</w:t>
            </w:r>
            <w:proofErr w:type="spellStart"/>
            <w:r w:rsidRPr="009D427F">
              <w:rPr>
                <w:rFonts w:ascii="Times New Roman" w:hAnsi="Times New Roman"/>
                <w:sz w:val="24"/>
                <w:szCs w:val="24"/>
              </w:rPr>
              <w:t>сульяат</w:t>
            </w:r>
            <w:proofErr w:type="spellEnd"/>
            <w:r w:rsidRPr="009D427F">
              <w:rPr>
                <w:rFonts w:ascii="Times New Roman" w:hAnsi="Times New Roman"/>
                <w:sz w:val="24"/>
                <w:szCs w:val="24"/>
              </w:rPr>
              <w:t xml:space="preserve"> меди в воде)</w:t>
            </w:r>
            <w:r w:rsidRPr="009D427F">
              <w:rPr>
                <w:rFonts w:ascii="Times New Roman" w:hAnsi="Times New Roman"/>
                <w:sz w:val="24"/>
                <w:szCs w:val="24"/>
              </w:rPr>
              <w:br/>
              <w:t>9. 6 x 30 мл   Раствор для демаскировки антигена с низким рН (50х)</w:t>
            </w:r>
            <w:r w:rsidRPr="009D427F">
              <w:rPr>
                <w:rFonts w:ascii="Times New Roman" w:hAnsi="Times New Roman"/>
                <w:sz w:val="24"/>
                <w:szCs w:val="24"/>
              </w:rPr>
              <w:br/>
              <w:t xml:space="preserve">10.  Предметные стекла с контрольной клеточной линией PD-L1 IHC22C3 </w:t>
            </w:r>
            <w:proofErr w:type="spellStart"/>
            <w:r w:rsidRPr="009D427F">
              <w:rPr>
                <w:rFonts w:ascii="Times New Roman" w:hAnsi="Times New Roman"/>
                <w:sz w:val="24"/>
                <w:szCs w:val="24"/>
              </w:rPr>
              <w:t>pharmDx</w:t>
            </w:r>
            <w:proofErr w:type="spellEnd"/>
            <w:r w:rsidRPr="009D427F">
              <w:rPr>
                <w:rFonts w:ascii="Times New Roman" w:hAnsi="Times New Roman"/>
                <w:sz w:val="24"/>
                <w:szCs w:val="24"/>
              </w:rPr>
              <w:t xml:space="preserve"> – 15шт</w:t>
            </w:r>
            <w:r w:rsidRPr="009D427F">
              <w:rPr>
                <w:rFonts w:ascii="Times New Roman" w:hAnsi="Times New Roman"/>
                <w:sz w:val="24"/>
                <w:szCs w:val="24"/>
              </w:rPr>
              <w:br/>
              <w:t xml:space="preserve">Состав набора приведен согласно разработанным стандартным операционным процедурам (СОП) Заказчика, в случае предложения товаров с эквивалентными характеристиками (например, фасовкой, объемом) разработка и апробация СОП осуществляется за счет поставщика. </w:t>
            </w:r>
            <w:r w:rsidRPr="009D427F">
              <w:rPr>
                <w:rFonts w:ascii="Times New Roman" w:hAnsi="Times New Roman"/>
                <w:sz w:val="24"/>
                <w:szCs w:val="24"/>
              </w:rPr>
              <w:br/>
              <w:t xml:space="preserve">Набор должен подходить для применения с </w:t>
            </w:r>
            <w:proofErr w:type="spellStart"/>
            <w:r w:rsidRPr="009D427F">
              <w:rPr>
                <w:rFonts w:ascii="Times New Roman" w:hAnsi="Times New Roman"/>
                <w:sz w:val="24"/>
                <w:szCs w:val="24"/>
              </w:rPr>
              <w:t>Автостейнером</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Линк</w:t>
            </w:r>
            <w:proofErr w:type="spellEnd"/>
            <w:r w:rsidRPr="009D427F">
              <w:rPr>
                <w:rFonts w:ascii="Times New Roman" w:hAnsi="Times New Roman"/>
                <w:sz w:val="24"/>
                <w:szCs w:val="24"/>
              </w:rPr>
              <w:t xml:space="preserve"> 48, </w:t>
            </w:r>
            <w:r w:rsidRPr="009D427F">
              <w:rPr>
                <w:rFonts w:ascii="Times New Roman" w:hAnsi="Times New Roman"/>
                <w:sz w:val="24"/>
                <w:szCs w:val="24"/>
              </w:rPr>
              <w:lastRenderedPageBreak/>
              <w:t>имеющимся у Заказчика.</w:t>
            </w:r>
          </w:p>
        </w:tc>
        <w:tc>
          <w:tcPr>
            <w:tcW w:w="788"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lastRenderedPageBreak/>
              <w:t>набор</w:t>
            </w:r>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21.20.23.110-00010280</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675"/>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lastRenderedPageBreak/>
              <w:t>19</w:t>
            </w:r>
          </w:p>
        </w:tc>
        <w:tc>
          <w:tcPr>
            <w:tcW w:w="2555" w:type="dxa"/>
            <w:hideMark/>
          </w:tcPr>
          <w:p w:rsidR="009D427F" w:rsidRPr="009D427F" w:rsidRDefault="009D427F" w:rsidP="00420CB7">
            <w:pPr>
              <w:rPr>
                <w:rFonts w:ascii="Times New Roman" w:hAnsi="Times New Roman"/>
                <w:b/>
                <w:i/>
                <w:sz w:val="24"/>
                <w:szCs w:val="24"/>
              </w:rPr>
            </w:pPr>
            <w:r w:rsidRPr="009D427F">
              <w:rPr>
                <w:rFonts w:ascii="Times New Roman" w:hAnsi="Times New Roman"/>
                <w:b/>
                <w:i/>
                <w:sz w:val="24"/>
                <w:szCs w:val="24"/>
              </w:rPr>
              <w:t> </w:t>
            </w:r>
            <w:r w:rsidR="00B4217E" w:rsidRPr="00B4217E">
              <w:rPr>
                <w:rFonts w:ascii="Times New Roman" w:hAnsi="Times New Roman"/>
                <w:b/>
                <w:i/>
                <w:sz w:val="24"/>
                <w:szCs w:val="24"/>
              </w:rPr>
              <w:t xml:space="preserve">Разбавитель антител </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Разбавитель первичных антител должен быть предназначен для ИГХ на парафиновых срезах для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vitro</w:t>
            </w:r>
            <w:proofErr w:type="spellEnd"/>
            <w:r w:rsidRPr="009D427F">
              <w:rPr>
                <w:rFonts w:ascii="Times New Roman" w:hAnsi="Times New Roman"/>
                <w:sz w:val="24"/>
                <w:szCs w:val="24"/>
              </w:rPr>
              <w:t xml:space="preserve"> </w:t>
            </w:r>
            <w:r w:rsidRPr="009D427F">
              <w:rPr>
                <w:rFonts w:ascii="Times New Roman" w:hAnsi="Times New Roman"/>
                <w:sz w:val="24"/>
                <w:szCs w:val="24"/>
              </w:rPr>
              <w:lastRenderedPageBreak/>
              <w:t>диагностики, в упаковке должно быть не менее 250мл, разбавитель должен быть готовый к использованию.</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lastRenderedPageBreak/>
              <w:t>шт</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10</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20.59.52.199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1125"/>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lastRenderedPageBreak/>
              <w:t>20</w:t>
            </w:r>
          </w:p>
        </w:tc>
        <w:tc>
          <w:tcPr>
            <w:tcW w:w="2555" w:type="dxa"/>
            <w:hideMark/>
          </w:tcPr>
          <w:p w:rsidR="009D427F" w:rsidRPr="009D427F" w:rsidRDefault="009D427F" w:rsidP="00420CB7">
            <w:pPr>
              <w:rPr>
                <w:rFonts w:ascii="Times New Roman" w:hAnsi="Times New Roman"/>
                <w:b/>
                <w:i/>
                <w:sz w:val="24"/>
                <w:szCs w:val="24"/>
              </w:rPr>
            </w:pPr>
            <w:r w:rsidRPr="009D427F">
              <w:rPr>
                <w:rFonts w:ascii="Times New Roman" w:hAnsi="Times New Roman"/>
                <w:b/>
                <w:i/>
                <w:sz w:val="24"/>
                <w:szCs w:val="24"/>
              </w:rPr>
              <w:t> </w:t>
            </w:r>
            <w:r w:rsidR="00B4217E" w:rsidRPr="00B4217E">
              <w:rPr>
                <w:rFonts w:ascii="Times New Roman" w:hAnsi="Times New Roman"/>
                <w:b/>
                <w:i/>
                <w:sz w:val="24"/>
                <w:szCs w:val="24"/>
              </w:rPr>
              <w:t xml:space="preserve">Раствор для восстановления антигена </w:t>
            </w:r>
            <w:proofErr w:type="spellStart"/>
            <w:r w:rsidR="00B4217E" w:rsidRPr="00B4217E">
              <w:rPr>
                <w:rFonts w:ascii="Times New Roman" w:hAnsi="Times New Roman"/>
                <w:b/>
                <w:i/>
                <w:sz w:val="24"/>
                <w:szCs w:val="24"/>
              </w:rPr>
              <w:t>Дако</w:t>
            </w:r>
            <w:proofErr w:type="spellEnd"/>
            <w:r w:rsidR="00B4217E" w:rsidRPr="00B4217E">
              <w:rPr>
                <w:rFonts w:ascii="Times New Roman" w:hAnsi="Times New Roman"/>
                <w:b/>
                <w:i/>
                <w:sz w:val="24"/>
                <w:szCs w:val="24"/>
              </w:rPr>
              <w:t xml:space="preserve">, цитратный </w:t>
            </w:r>
            <w:proofErr w:type="spellStart"/>
            <w:r w:rsidR="00B4217E" w:rsidRPr="00B4217E">
              <w:rPr>
                <w:rFonts w:ascii="Times New Roman" w:hAnsi="Times New Roman"/>
                <w:b/>
                <w:i/>
                <w:sz w:val="24"/>
                <w:szCs w:val="24"/>
              </w:rPr>
              <w:t>pH</w:t>
            </w:r>
            <w:proofErr w:type="spellEnd"/>
            <w:r w:rsidR="00B4217E" w:rsidRPr="00B4217E">
              <w:rPr>
                <w:rFonts w:ascii="Times New Roman" w:hAnsi="Times New Roman"/>
                <w:b/>
                <w:i/>
                <w:sz w:val="24"/>
                <w:szCs w:val="24"/>
              </w:rPr>
              <w:t xml:space="preserve"> 6 (x 10) </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Раствор должен быть предназначен для восстановления антигена, цитратный, уровень </w:t>
            </w:r>
            <w:proofErr w:type="spellStart"/>
            <w:r w:rsidRPr="009D427F">
              <w:rPr>
                <w:rFonts w:ascii="Times New Roman" w:hAnsi="Times New Roman"/>
                <w:sz w:val="24"/>
                <w:szCs w:val="24"/>
              </w:rPr>
              <w:t>pH</w:t>
            </w:r>
            <w:proofErr w:type="spellEnd"/>
            <w:r w:rsidRPr="009D427F">
              <w:rPr>
                <w:rFonts w:ascii="Times New Roman" w:hAnsi="Times New Roman"/>
                <w:sz w:val="24"/>
                <w:szCs w:val="24"/>
              </w:rPr>
              <w:t xml:space="preserve"> должен быть 6,0 (+-0,1), включая границы диапазона , в упаковке должно быть не менее 500 мл,  должен быть концентрированный не менее чем в 10 Х, должен быть предназначен для высокотемпературной демаскировки антигенов.</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t>упак</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12</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20.59.52.199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5625"/>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lastRenderedPageBreak/>
              <w:t>21</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Гибридизация нуклеиновых кислот ИВД, набор</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Набор реагентов и других связанных с ними материалов, предназначенный для использования при общем определении </w:t>
            </w:r>
            <w:proofErr w:type="spellStart"/>
            <w:r w:rsidRPr="009D427F">
              <w:rPr>
                <w:rFonts w:ascii="Times New Roman" w:hAnsi="Times New Roman"/>
                <w:sz w:val="24"/>
                <w:szCs w:val="24"/>
              </w:rPr>
              <w:t>коньюгированных</w:t>
            </w:r>
            <w:proofErr w:type="spellEnd"/>
            <w:r w:rsidRPr="009D427F">
              <w:rPr>
                <w:rFonts w:ascii="Times New Roman" w:hAnsi="Times New Roman"/>
                <w:sz w:val="24"/>
                <w:szCs w:val="24"/>
              </w:rPr>
              <w:t xml:space="preserve"> ДНК зондов, </w:t>
            </w:r>
            <w:proofErr w:type="spellStart"/>
            <w:r w:rsidRPr="009D427F">
              <w:rPr>
                <w:rFonts w:ascii="Times New Roman" w:hAnsi="Times New Roman"/>
                <w:sz w:val="24"/>
                <w:szCs w:val="24"/>
              </w:rPr>
              <w:t>гибридизованных</w:t>
            </w:r>
            <w:proofErr w:type="spellEnd"/>
            <w:r w:rsidRPr="009D427F">
              <w:rPr>
                <w:rFonts w:ascii="Times New Roman" w:hAnsi="Times New Roman"/>
                <w:sz w:val="24"/>
                <w:szCs w:val="24"/>
              </w:rPr>
              <w:t xml:space="preserve"> с соответствующими мишенями нуклеотидной последовательности в образцах клеток или тканей, приготовленных из клинического образца.</w:t>
            </w:r>
            <w:r w:rsidRPr="009D427F">
              <w:rPr>
                <w:rFonts w:ascii="Times New Roman" w:hAnsi="Times New Roman"/>
                <w:sz w:val="24"/>
                <w:szCs w:val="24"/>
              </w:rPr>
              <w:br/>
              <w:t>Количество выполняемых тестов</w:t>
            </w:r>
            <w:r w:rsidRPr="009D427F">
              <w:rPr>
                <w:rFonts w:ascii="Times New Roman" w:hAnsi="Times New Roman"/>
                <w:sz w:val="24"/>
                <w:szCs w:val="24"/>
              </w:rPr>
              <w:br/>
              <w:t xml:space="preserve"> ≥ 10  Штука </w:t>
            </w:r>
            <w:r w:rsidRPr="009D427F">
              <w:rPr>
                <w:rFonts w:ascii="Times New Roman" w:hAnsi="Times New Roman"/>
                <w:sz w:val="24"/>
                <w:szCs w:val="24"/>
              </w:rPr>
              <w:br/>
              <w:t>Метод:</w:t>
            </w:r>
            <w:r w:rsidRPr="009D427F">
              <w:rPr>
                <w:rFonts w:ascii="Times New Roman" w:hAnsi="Times New Roman"/>
                <w:sz w:val="24"/>
                <w:szCs w:val="24"/>
              </w:rPr>
              <w:br/>
              <w:t xml:space="preserve"> Флуоресцентная FISH и хромогенная CISH гибридизация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situ</w:t>
            </w:r>
            <w:proofErr w:type="spellEnd"/>
            <w:r w:rsidRPr="009D427F">
              <w:rPr>
                <w:rFonts w:ascii="Times New Roman" w:hAnsi="Times New Roman"/>
                <w:sz w:val="24"/>
                <w:szCs w:val="24"/>
              </w:rPr>
              <w:t xml:space="preserve"> </w:t>
            </w:r>
            <w:r w:rsidRPr="009D427F">
              <w:rPr>
                <w:rFonts w:ascii="Times New Roman" w:hAnsi="Times New Roman"/>
                <w:sz w:val="24"/>
                <w:szCs w:val="24"/>
              </w:rPr>
              <w:br/>
              <w:t>Назначение:</w:t>
            </w:r>
            <w:r w:rsidRPr="009D427F">
              <w:rPr>
                <w:rFonts w:ascii="Times New Roman" w:hAnsi="Times New Roman"/>
                <w:sz w:val="24"/>
                <w:szCs w:val="24"/>
              </w:rPr>
              <w:br/>
              <w:t xml:space="preserve"> Для ручной постановки анализа.</w:t>
            </w:r>
            <w:r w:rsidRPr="009D427F">
              <w:rPr>
                <w:rFonts w:ascii="Times New Roman" w:hAnsi="Times New Roman"/>
                <w:sz w:val="24"/>
                <w:szCs w:val="24"/>
              </w:rPr>
              <w:br/>
              <w:t>*Реагент должен быть для определения перестройки MDM2 на хромосоме 12, что соответствует требованиям Заказчика о реализации цели исследования интересующих участков.</w:t>
            </w:r>
            <w:r w:rsidRPr="009D427F">
              <w:rPr>
                <w:rFonts w:ascii="Times New Roman" w:hAnsi="Times New Roman"/>
                <w:sz w:val="24"/>
                <w:szCs w:val="24"/>
              </w:rPr>
              <w:br/>
              <w:t xml:space="preserve">Окрашиваемые регионы - зонды комплементарные участкам гена MDM2  (12q15 и 12p11.1-q11.1), что соответствует требованиям Заказчика о реализации цели исследования интересующих участков и возможности точного анализа препаратов для проведения исследования и постановки диагноза. </w:t>
            </w:r>
            <w:r w:rsidRPr="009D427F">
              <w:rPr>
                <w:rFonts w:ascii="Times New Roman" w:hAnsi="Times New Roman"/>
                <w:sz w:val="24"/>
                <w:szCs w:val="24"/>
              </w:rPr>
              <w:br/>
            </w:r>
            <w:r w:rsidRPr="009D427F">
              <w:rPr>
                <w:rFonts w:ascii="Times New Roman" w:hAnsi="Times New Roman"/>
                <w:sz w:val="24"/>
                <w:szCs w:val="24"/>
              </w:rPr>
              <w:lastRenderedPageBreak/>
              <w:t xml:space="preserve">Набор должен содержать среду для заключения флуоресцентных препаратов с контрастирующим реагентом (концентрация не менее 0,125 мг/мл, объем не менее 150 </w:t>
            </w:r>
            <w:proofErr w:type="spellStart"/>
            <w:r w:rsidRPr="009D427F">
              <w:rPr>
                <w:rFonts w:ascii="Times New Roman" w:hAnsi="Times New Roman"/>
                <w:sz w:val="24"/>
                <w:szCs w:val="24"/>
              </w:rPr>
              <w:t>мкл</w:t>
            </w:r>
            <w:proofErr w:type="spellEnd"/>
            <w:r w:rsidRPr="009D427F">
              <w:rPr>
                <w:rFonts w:ascii="Times New Roman" w:hAnsi="Times New Roman"/>
                <w:sz w:val="24"/>
                <w:szCs w:val="24"/>
              </w:rPr>
              <w:t xml:space="preserve">), согласно отработанному протоколу исследований, реализующего возможность точного анализа препаратов для проведения исследования и постановки диагноза. </w:t>
            </w:r>
          </w:p>
        </w:tc>
        <w:tc>
          <w:tcPr>
            <w:tcW w:w="788"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lastRenderedPageBreak/>
              <w:t>набор</w:t>
            </w:r>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21.20.23.110-00007068</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2958"/>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lastRenderedPageBreak/>
              <w:t>22</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Гибридизация нуклеиновых кислот ИВД, набор</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Набор реагентов и других связанных с ними материалов, предназначенный для использования при общем определении </w:t>
            </w:r>
            <w:proofErr w:type="spellStart"/>
            <w:r w:rsidRPr="009D427F">
              <w:rPr>
                <w:rFonts w:ascii="Times New Roman" w:hAnsi="Times New Roman"/>
                <w:sz w:val="24"/>
                <w:szCs w:val="24"/>
              </w:rPr>
              <w:t>коньюгированных</w:t>
            </w:r>
            <w:proofErr w:type="spellEnd"/>
            <w:r w:rsidRPr="009D427F">
              <w:rPr>
                <w:rFonts w:ascii="Times New Roman" w:hAnsi="Times New Roman"/>
                <w:sz w:val="24"/>
                <w:szCs w:val="24"/>
              </w:rPr>
              <w:t xml:space="preserve"> ДНК зондов, </w:t>
            </w:r>
            <w:proofErr w:type="spellStart"/>
            <w:r w:rsidRPr="009D427F">
              <w:rPr>
                <w:rFonts w:ascii="Times New Roman" w:hAnsi="Times New Roman"/>
                <w:sz w:val="24"/>
                <w:szCs w:val="24"/>
              </w:rPr>
              <w:t>гибридизованных</w:t>
            </w:r>
            <w:proofErr w:type="spellEnd"/>
            <w:r w:rsidRPr="009D427F">
              <w:rPr>
                <w:rFonts w:ascii="Times New Roman" w:hAnsi="Times New Roman"/>
                <w:sz w:val="24"/>
                <w:szCs w:val="24"/>
              </w:rPr>
              <w:t xml:space="preserve"> с соответствующими мишенями нуклеотидной последовательности в образцах клеток или тканей, приготовленных из клинического образца.</w:t>
            </w:r>
            <w:r w:rsidRPr="009D427F">
              <w:rPr>
                <w:rFonts w:ascii="Times New Roman" w:hAnsi="Times New Roman"/>
                <w:sz w:val="24"/>
                <w:szCs w:val="24"/>
              </w:rPr>
              <w:br/>
              <w:t>Количество выполняемых тестов</w:t>
            </w:r>
            <w:r w:rsidRPr="009D427F">
              <w:rPr>
                <w:rFonts w:ascii="Times New Roman" w:hAnsi="Times New Roman"/>
                <w:sz w:val="24"/>
                <w:szCs w:val="24"/>
              </w:rPr>
              <w:br/>
              <w:t xml:space="preserve"> ≥ 10  Штука </w:t>
            </w:r>
            <w:r w:rsidRPr="009D427F">
              <w:rPr>
                <w:rFonts w:ascii="Times New Roman" w:hAnsi="Times New Roman"/>
                <w:sz w:val="24"/>
                <w:szCs w:val="24"/>
              </w:rPr>
              <w:br/>
              <w:t>Метод:</w:t>
            </w:r>
            <w:r w:rsidRPr="009D427F">
              <w:rPr>
                <w:rFonts w:ascii="Times New Roman" w:hAnsi="Times New Roman"/>
                <w:sz w:val="24"/>
                <w:szCs w:val="24"/>
              </w:rPr>
              <w:br/>
              <w:t xml:space="preserve"> Флуоресцентная FISH и хромогенная CISH гибридизация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situ</w:t>
            </w:r>
            <w:proofErr w:type="spellEnd"/>
            <w:r w:rsidRPr="009D427F">
              <w:rPr>
                <w:rFonts w:ascii="Times New Roman" w:hAnsi="Times New Roman"/>
                <w:sz w:val="24"/>
                <w:szCs w:val="24"/>
              </w:rPr>
              <w:t xml:space="preserve"> </w:t>
            </w:r>
            <w:r w:rsidRPr="009D427F">
              <w:rPr>
                <w:rFonts w:ascii="Times New Roman" w:hAnsi="Times New Roman"/>
                <w:sz w:val="24"/>
                <w:szCs w:val="24"/>
              </w:rPr>
              <w:br/>
              <w:t>Назначение:</w:t>
            </w:r>
            <w:r w:rsidRPr="009D427F">
              <w:rPr>
                <w:rFonts w:ascii="Times New Roman" w:hAnsi="Times New Roman"/>
                <w:sz w:val="24"/>
                <w:szCs w:val="24"/>
              </w:rPr>
              <w:br/>
              <w:t xml:space="preserve"> Для ручной постановки анализа.</w:t>
            </w:r>
            <w:r w:rsidRPr="009D427F">
              <w:rPr>
                <w:rFonts w:ascii="Times New Roman" w:hAnsi="Times New Roman"/>
                <w:sz w:val="24"/>
                <w:szCs w:val="24"/>
              </w:rPr>
              <w:br/>
              <w:t xml:space="preserve">*Реагент должен быть для определения </w:t>
            </w:r>
            <w:proofErr w:type="spellStart"/>
            <w:r w:rsidRPr="009D427F">
              <w:rPr>
                <w:rFonts w:ascii="Times New Roman" w:hAnsi="Times New Roman"/>
                <w:sz w:val="24"/>
                <w:szCs w:val="24"/>
              </w:rPr>
              <w:t>транслокации</w:t>
            </w:r>
            <w:proofErr w:type="spellEnd"/>
            <w:r w:rsidRPr="009D427F">
              <w:rPr>
                <w:rFonts w:ascii="Times New Roman" w:hAnsi="Times New Roman"/>
                <w:sz w:val="24"/>
                <w:szCs w:val="24"/>
              </w:rPr>
              <w:t xml:space="preserve"> N-MYC (MYCN)  и LAF на хромосоме 2, что соответствует требованиям Заказчика о реализации цели исследования интересующих участков.</w:t>
            </w:r>
            <w:r w:rsidRPr="009D427F">
              <w:rPr>
                <w:rFonts w:ascii="Times New Roman" w:hAnsi="Times New Roman"/>
                <w:sz w:val="24"/>
                <w:szCs w:val="24"/>
              </w:rPr>
              <w:br/>
              <w:t xml:space="preserve">Окрашиваемые регионы - зонды комплементарные участкам гена N-MYC  ( 2p24.3) и гена LAF (2q11), что соответствует требованиям Заказчика о реализации цели исследования интересующих участков и возможности точного анализа препаратов для проведения исследования и постановки </w:t>
            </w:r>
            <w:r w:rsidRPr="009D427F">
              <w:rPr>
                <w:rFonts w:ascii="Times New Roman" w:hAnsi="Times New Roman"/>
                <w:sz w:val="24"/>
                <w:szCs w:val="24"/>
              </w:rPr>
              <w:lastRenderedPageBreak/>
              <w:t xml:space="preserve">диагноза. </w:t>
            </w:r>
            <w:r w:rsidRPr="009D427F">
              <w:rPr>
                <w:rFonts w:ascii="Times New Roman" w:hAnsi="Times New Roman"/>
                <w:sz w:val="24"/>
                <w:szCs w:val="24"/>
              </w:rPr>
              <w:br/>
              <w:t xml:space="preserve">Набор должен содержать среду для заключения флуоресцентных препаратов с контрастирующим реагентом (концентрация не менее 0,125 мг/мл, объем не менее 150 </w:t>
            </w:r>
            <w:proofErr w:type="spellStart"/>
            <w:r w:rsidRPr="009D427F">
              <w:rPr>
                <w:rFonts w:ascii="Times New Roman" w:hAnsi="Times New Roman"/>
                <w:sz w:val="24"/>
                <w:szCs w:val="24"/>
              </w:rPr>
              <w:t>мкл</w:t>
            </w:r>
            <w:proofErr w:type="spellEnd"/>
            <w:r w:rsidRPr="009D427F">
              <w:rPr>
                <w:rFonts w:ascii="Times New Roman" w:hAnsi="Times New Roman"/>
                <w:sz w:val="24"/>
                <w:szCs w:val="24"/>
              </w:rPr>
              <w:t xml:space="preserve">), согласно отработанному протоколу исследований, реализующего возможность точного анализа препаратов для проведения исследования и постановки диагноза. </w:t>
            </w:r>
          </w:p>
        </w:tc>
        <w:tc>
          <w:tcPr>
            <w:tcW w:w="788"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lastRenderedPageBreak/>
              <w:t>набор</w:t>
            </w:r>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21.20.23.110-00007068</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3150"/>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lastRenderedPageBreak/>
              <w:t>23</w:t>
            </w:r>
          </w:p>
        </w:tc>
        <w:tc>
          <w:tcPr>
            <w:tcW w:w="2555" w:type="dxa"/>
            <w:hideMark/>
          </w:tcPr>
          <w:p w:rsidR="009D427F" w:rsidRPr="009D427F" w:rsidRDefault="009D427F" w:rsidP="009D427F">
            <w:pPr>
              <w:rPr>
                <w:rFonts w:ascii="Times New Roman" w:hAnsi="Times New Roman"/>
                <w:b/>
                <w:i/>
                <w:sz w:val="24"/>
                <w:szCs w:val="24"/>
              </w:rPr>
            </w:pPr>
            <w:r w:rsidRPr="009D427F">
              <w:rPr>
                <w:rFonts w:ascii="Times New Roman" w:hAnsi="Times New Roman"/>
                <w:b/>
                <w:i/>
                <w:sz w:val="24"/>
                <w:szCs w:val="24"/>
              </w:rPr>
              <w:t>Гибридизация нуклеиновых кислот ИВД, набор</w:t>
            </w:r>
          </w:p>
        </w:tc>
        <w:tc>
          <w:tcPr>
            <w:tcW w:w="4461" w:type="dxa"/>
            <w:hideMark/>
          </w:tcPr>
          <w:p w:rsidR="009D427F" w:rsidRPr="009D427F" w:rsidRDefault="009D427F" w:rsidP="009D427F">
            <w:pPr>
              <w:rPr>
                <w:rFonts w:ascii="Times New Roman" w:hAnsi="Times New Roman"/>
                <w:sz w:val="24"/>
                <w:szCs w:val="24"/>
              </w:rPr>
            </w:pPr>
            <w:r w:rsidRPr="009D427F">
              <w:rPr>
                <w:rFonts w:ascii="Times New Roman" w:hAnsi="Times New Roman"/>
                <w:sz w:val="24"/>
                <w:szCs w:val="24"/>
              </w:rPr>
              <w:t xml:space="preserve">Набор реагентов и других связанных с ними материалов, предназначенный для использования при общем определении </w:t>
            </w:r>
            <w:proofErr w:type="spellStart"/>
            <w:r w:rsidRPr="009D427F">
              <w:rPr>
                <w:rFonts w:ascii="Times New Roman" w:hAnsi="Times New Roman"/>
                <w:sz w:val="24"/>
                <w:szCs w:val="24"/>
              </w:rPr>
              <w:t>коньюгированных</w:t>
            </w:r>
            <w:proofErr w:type="spellEnd"/>
            <w:r w:rsidRPr="009D427F">
              <w:rPr>
                <w:rFonts w:ascii="Times New Roman" w:hAnsi="Times New Roman"/>
                <w:sz w:val="24"/>
                <w:szCs w:val="24"/>
              </w:rPr>
              <w:t xml:space="preserve"> ДНК зондов, </w:t>
            </w:r>
            <w:proofErr w:type="spellStart"/>
            <w:r w:rsidRPr="009D427F">
              <w:rPr>
                <w:rFonts w:ascii="Times New Roman" w:hAnsi="Times New Roman"/>
                <w:sz w:val="24"/>
                <w:szCs w:val="24"/>
              </w:rPr>
              <w:t>гибридизованных</w:t>
            </w:r>
            <w:proofErr w:type="spellEnd"/>
            <w:r w:rsidRPr="009D427F">
              <w:rPr>
                <w:rFonts w:ascii="Times New Roman" w:hAnsi="Times New Roman"/>
                <w:sz w:val="24"/>
                <w:szCs w:val="24"/>
              </w:rPr>
              <w:t xml:space="preserve"> с соответствующими мишенями нуклеотидной последовательности в образцах клеток или тканей, приготовленных из клинического образца.</w:t>
            </w:r>
            <w:r w:rsidRPr="009D427F">
              <w:rPr>
                <w:rFonts w:ascii="Times New Roman" w:hAnsi="Times New Roman"/>
                <w:sz w:val="24"/>
                <w:szCs w:val="24"/>
              </w:rPr>
              <w:br/>
              <w:t>Количество выполняемых тестов</w:t>
            </w:r>
            <w:r w:rsidRPr="009D427F">
              <w:rPr>
                <w:rFonts w:ascii="Times New Roman" w:hAnsi="Times New Roman"/>
                <w:sz w:val="24"/>
                <w:szCs w:val="24"/>
              </w:rPr>
              <w:br/>
              <w:t xml:space="preserve"> ≥ 10  Штука </w:t>
            </w:r>
            <w:r w:rsidRPr="009D427F">
              <w:rPr>
                <w:rFonts w:ascii="Times New Roman" w:hAnsi="Times New Roman"/>
                <w:sz w:val="24"/>
                <w:szCs w:val="24"/>
              </w:rPr>
              <w:br/>
              <w:t>Метод:</w:t>
            </w:r>
            <w:r w:rsidRPr="009D427F">
              <w:rPr>
                <w:rFonts w:ascii="Times New Roman" w:hAnsi="Times New Roman"/>
                <w:sz w:val="24"/>
                <w:szCs w:val="24"/>
              </w:rPr>
              <w:br/>
              <w:t xml:space="preserve"> Флуоресцентная FISH и хромогенная CISH гибридизация </w:t>
            </w:r>
            <w:proofErr w:type="spellStart"/>
            <w:r w:rsidRPr="009D427F">
              <w:rPr>
                <w:rFonts w:ascii="Times New Roman" w:hAnsi="Times New Roman"/>
                <w:sz w:val="24"/>
                <w:szCs w:val="24"/>
              </w:rPr>
              <w:t>in</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situ</w:t>
            </w:r>
            <w:proofErr w:type="spellEnd"/>
            <w:r w:rsidRPr="009D427F">
              <w:rPr>
                <w:rFonts w:ascii="Times New Roman" w:hAnsi="Times New Roman"/>
                <w:sz w:val="24"/>
                <w:szCs w:val="24"/>
              </w:rPr>
              <w:t xml:space="preserve"> </w:t>
            </w:r>
            <w:r w:rsidRPr="009D427F">
              <w:rPr>
                <w:rFonts w:ascii="Times New Roman" w:hAnsi="Times New Roman"/>
                <w:sz w:val="24"/>
                <w:szCs w:val="24"/>
              </w:rPr>
              <w:br/>
              <w:t>Назначение:</w:t>
            </w:r>
            <w:r w:rsidRPr="009D427F">
              <w:rPr>
                <w:rFonts w:ascii="Times New Roman" w:hAnsi="Times New Roman"/>
                <w:sz w:val="24"/>
                <w:szCs w:val="24"/>
              </w:rPr>
              <w:br/>
              <w:t xml:space="preserve"> Для ручной постановки анализа.</w:t>
            </w:r>
            <w:r w:rsidRPr="009D427F">
              <w:rPr>
                <w:rFonts w:ascii="Times New Roman" w:hAnsi="Times New Roman"/>
                <w:sz w:val="24"/>
                <w:szCs w:val="24"/>
              </w:rPr>
              <w:br/>
              <w:t xml:space="preserve">*Реагент должен быть предназначен для определения перестройки EWS R1, что соответствует требованиям Заказчика о реализации цели исследования </w:t>
            </w:r>
            <w:r w:rsidRPr="009D427F">
              <w:rPr>
                <w:rFonts w:ascii="Times New Roman" w:hAnsi="Times New Roman"/>
                <w:sz w:val="24"/>
                <w:szCs w:val="24"/>
              </w:rPr>
              <w:lastRenderedPageBreak/>
              <w:t>интересующих участков.</w:t>
            </w:r>
          </w:p>
        </w:tc>
        <w:tc>
          <w:tcPr>
            <w:tcW w:w="788"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lastRenderedPageBreak/>
              <w:t>набор</w:t>
            </w:r>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21.20.23.110-00007068</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r w:rsidR="009D427F" w:rsidRPr="009D427F" w:rsidTr="00B4217E">
        <w:trPr>
          <w:trHeight w:val="3600"/>
        </w:trPr>
        <w:tc>
          <w:tcPr>
            <w:tcW w:w="655" w:type="dxa"/>
          </w:tcPr>
          <w:p w:rsidR="009D427F" w:rsidRPr="009D427F" w:rsidRDefault="00B4217E" w:rsidP="009D427F">
            <w:pPr>
              <w:rPr>
                <w:rFonts w:ascii="Times New Roman" w:hAnsi="Times New Roman"/>
                <w:sz w:val="24"/>
                <w:szCs w:val="24"/>
              </w:rPr>
            </w:pPr>
            <w:r w:rsidRPr="00B4217E">
              <w:rPr>
                <w:rFonts w:ascii="Times New Roman" w:hAnsi="Times New Roman"/>
                <w:sz w:val="24"/>
                <w:szCs w:val="24"/>
              </w:rPr>
              <w:lastRenderedPageBreak/>
              <w:t>24</w:t>
            </w:r>
          </w:p>
        </w:tc>
        <w:tc>
          <w:tcPr>
            <w:tcW w:w="2555" w:type="dxa"/>
            <w:hideMark/>
          </w:tcPr>
          <w:p w:rsidR="009D427F" w:rsidRPr="009D427F" w:rsidRDefault="009D427F" w:rsidP="00420CB7">
            <w:pPr>
              <w:rPr>
                <w:rFonts w:ascii="Times New Roman" w:hAnsi="Times New Roman"/>
                <w:b/>
                <w:i/>
                <w:sz w:val="24"/>
                <w:szCs w:val="24"/>
              </w:rPr>
            </w:pPr>
            <w:r w:rsidRPr="009D427F">
              <w:rPr>
                <w:rFonts w:ascii="Times New Roman" w:hAnsi="Times New Roman"/>
                <w:b/>
                <w:i/>
                <w:sz w:val="24"/>
                <w:szCs w:val="24"/>
              </w:rPr>
              <w:t> </w:t>
            </w:r>
            <w:r w:rsidR="00B4217E" w:rsidRPr="00B4217E">
              <w:rPr>
                <w:rFonts w:ascii="Times New Roman" w:hAnsi="Times New Roman"/>
                <w:b/>
                <w:i/>
                <w:sz w:val="24"/>
                <w:szCs w:val="24"/>
              </w:rPr>
              <w:t xml:space="preserve">Система </w:t>
            </w:r>
            <w:proofErr w:type="spellStart"/>
            <w:r w:rsidR="00B4217E" w:rsidRPr="00B4217E">
              <w:rPr>
                <w:rFonts w:ascii="Times New Roman" w:hAnsi="Times New Roman"/>
                <w:b/>
                <w:i/>
                <w:sz w:val="24"/>
                <w:szCs w:val="24"/>
              </w:rPr>
              <w:t>детекции</w:t>
            </w:r>
            <w:proofErr w:type="spellEnd"/>
            <w:r w:rsidR="00B4217E" w:rsidRPr="00B4217E">
              <w:rPr>
                <w:rFonts w:ascii="Times New Roman" w:hAnsi="Times New Roman"/>
                <w:b/>
                <w:i/>
                <w:sz w:val="24"/>
                <w:szCs w:val="24"/>
              </w:rPr>
              <w:t xml:space="preserve"> </w:t>
            </w:r>
            <w:proofErr w:type="spellStart"/>
            <w:r w:rsidR="00B4217E" w:rsidRPr="00B4217E">
              <w:rPr>
                <w:rFonts w:ascii="Times New Roman" w:hAnsi="Times New Roman"/>
                <w:b/>
                <w:i/>
                <w:sz w:val="24"/>
                <w:szCs w:val="24"/>
              </w:rPr>
              <w:t>ЭнВижн</w:t>
            </w:r>
            <w:proofErr w:type="spellEnd"/>
            <w:r w:rsidR="00B4217E" w:rsidRPr="00B4217E">
              <w:rPr>
                <w:rFonts w:ascii="Times New Roman" w:hAnsi="Times New Roman"/>
                <w:b/>
                <w:i/>
                <w:sz w:val="24"/>
                <w:szCs w:val="24"/>
              </w:rPr>
              <w:t xml:space="preserve"> ФЛЕКС ПХ, кроличьи/мышиные, </w:t>
            </w:r>
          </w:p>
        </w:tc>
        <w:tc>
          <w:tcPr>
            <w:tcW w:w="4461" w:type="dxa"/>
            <w:hideMark/>
          </w:tcPr>
          <w:p w:rsidR="009D427F" w:rsidRPr="009D427F" w:rsidRDefault="009D427F" w:rsidP="009D427F">
            <w:pPr>
              <w:rPr>
                <w:rFonts w:ascii="Times New Roman" w:hAnsi="Times New Roman"/>
                <w:sz w:val="24"/>
                <w:szCs w:val="24"/>
              </w:rPr>
            </w:pPr>
            <w:proofErr w:type="spellStart"/>
            <w:r w:rsidRPr="009D427F">
              <w:rPr>
                <w:rFonts w:ascii="Times New Roman" w:hAnsi="Times New Roman"/>
                <w:sz w:val="24"/>
                <w:szCs w:val="24"/>
              </w:rPr>
              <w:t>Cистема</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детекции</w:t>
            </w:r>
            <w:proofErr w:type="spellEnd"/>
            <w:r w:rsidRPr="009D427F">
              <w:rPr>
                <w:rFonts w:ascii="Times New Roman" w:hAnsi="Times New Roman"/>
                <w:sz w:val="24"/>
                <w:szCs w:val="24"/>
              </w:rPr>
              <w:t xml:space="preserve"> мышиная/кроличья должна быть предназначена для ИГХ на парафиновых </w:t>
            </w:r>
            <w:proofErr w:type="spellStart"/>
            <w:r w:rsidRPr="009D427F">
              <w:rPr>
                <w:rFonts w:ascii="Times New Roman" w:hAnsi="Times New Roman"/>
                <w:sz w:val="24"/>
                <w:szCs w:val="24"/>
              </w:rPr>
              <w:t>срезах.Должна</w:t>
            </w:r>
            <w:proofErr w:type="spellEnd"/>
            <w:r w:rsidRPr="009D427F">
              <w:rPr>
                <w:rFonts w:ascii="Times New Roman" w:hAnsi="Times New Roman"/>
                <w:sz w:val="24"/>
                <w:szCs w:val="24"/>
              </w:rPr>
              <w:t xml:space="preserve"> подходить для использования в автоматической системе окраски </w:t>
            </w:r>
            <w:proofErr w:type="spellStart"/>
            <w:r w:rsidRPr="009D427F">
              <w:rPr>
                <w:rFonts w:ascii="Times New Roman" w:hAnsi="Times New Roman"/>
                <w:sz w:val="24"/>
                <w:szCs w:val="24"/>
              </w:rPr>
              <w:t>Линк</w:t>
            </w:r>
            <w:proofErr w:type="spellEnd"/>
            <w:r w:rsidRPr="009D427F">
              <w:rPr>
                <w:rFonts w:ascii="Times New Roman" w:hAnsi="Times New Roman"/>
                <w:sz w:val="24"/>
                <w:szCs w:val="24"/>
              </w:rPr>
              <w:t xml:space="preserve">, имеющейся у Заказчика. В состав системы должны входить: не менее 3х40 мл реагента, блокирующего </w:t>
            </w:r>
            <w:proofErr w:type="spellStart"/>
            <w:r w:rsidRPr="009D427F">
              <w:rPr>
                <w:rFonts w:ascii="Times New Roman" w:hAnsi="Times New Roman"/>
                <w:sz w:val="24"/>
                <w:szCs w:val="24"/>
              </w:rPr>
              <w:t>пероксидазу</w:t>
            </w:r>
            <w:proofErr w:type="spellEnd"/>
            <w:r w:rsidRPr="009D427F">
              <w:rPr>
                <w:rFonts w:ascii="Times New Roman" w:hAnsi="Times New Roman"/>
                <w:sz w:val="24"/>
                <w:szCs w:val="24"/>
              </w:rPr>
              <w:t xml:space="preserve">, готового к использованию (Фосфатный буфер, содержащий </w:t>
            </w:r>
            <w:proofErr w:type="spellStart"/>
            <w:r w:rsidRPr="009D427F">
              <w:rPr>
                <w:rFonts w:ascii="Times New Roman" w:hAnsi="Times New Roman"/>
                <w:sz w:val="24"/>
                <w:szCs w:val="24"/>
              </w:rPr>
              <w:t>перикись</w:t>
            </w:r>
            <w:proofErr w:type="spellEnd"/>
            <w:r w:rsidRPr="009D427F">
              <w:rPr>
                <w:rFonts w:ascii="Times New Roman" w:hAnsi="Times New Roman"/>
                <w:sz w:val="24"/>
                <w:szCs w:val="24"/>
              </w:rPr>
              <w:t xml:space="preserve"> водорода, не более 15 </w:t>
            </w:r>
            <w:proofErr w:type="spellStart"/>
            <w:r w:rsidRPr="009D427F">
              <w:rPr>
                <w:rFonts w:ascii="Times New Roman" w:hAnsi="Times New Roman"/>
                <w:sz w:val="24"/>
                <w:szCs w:val="24"/>
              </w:rPr>
              <w:t>мМол</w:t>
            </w:r>
            <w:proofErr w:type="spellEnd"/>
            <w:r w:rsidRPr="009D427F">
              <w:rPr>
                <w:rFonts w:ascii="Times New Roman" w:hAnsi="Times New Roman"/>
                <w:sz w:val="24"/>
                <w:szCs w:val="24"/>
              </w:rPr>
              <w:t xml:space="preserve">/л азид натрия и детергент); не менее 3х40 мл полимера Меченый полимер (молекула декстрана, меченая </w:t>
            </w:r>
            <w:proofErr w:type="spellStart"/>
            <w:r w:rsidRPr="009D427F">
              <w:rPr>
                <w:rFonts w:ascii="Times New Roman" w:hAnsi="Times New Roman"/>
                <w:sz w:val="24"/>
                <w:szCs w:val="24"/>
              </w:rPr>
              <w:t>пероксидазой</w:t>
            </w:r>
            <w:proofErr w:type="spellEnd"/>
            <w:r w:rsidRPr="009D427F">
              <w:rPr>
                <w:rFonts w:ascii="Times New Roman" w:hAnsi="Times New Roman"/>
                <w:sz w:val="24"/>
                <w:szCs w:val="24"/>
              </w:rPr>
              <w:t xml:space="preserve">) с козьими анти-кроличьими и анти-мышиными иммуноглобулинами в буфере, содержащем белок-стабилизатор и антимикробный агент. Готовый к использованию не менее 3 х 3 мл  3,3’- </w:t>
            </w:r>
            <w:proofErr w:type="spellStart"/>
            <w:r w:rsidRPr="009D427F">
              <w:rPr>
                <w:rFonts w:ascii="Times New Roman" w:hAnsi="Times New Roman"/>
                <w:sz w:val="24"/>
                <w:szCs w:val="24"/>
              </w:rPr>
              <w:lastRenderedPageBreak/>
              <w:t>диаминобензидин</w:t>
            </w:r>
            <w:proofErr w:type="spellEnd"/>
            <w:r w:rsidRPr="009D427F">
              <w:rPr>
                <w:rFonts w:ascii="Times New Roman" w:hAnsi="Times New Roman"/>
                <w:sz w:val="24"/>
                <w:szCs w:val="24"/>
              </w:rPr>
              <w:t xml:space="preserve"> </w:t>
            </w:r>
            <w:proofErr w:type="spellStart"/>
            <w:r w:rsidRPr="009D427F">
              <w:rPr>
                <w:rFonts w:ascii="Times New Roman" w:hAnsi="Times New Roman"/>
                <w:sz w:val="24"/>
                <w:szCs w:val="24"/>
              </w:rPr>
              <w:t>тетрагидрохлорид</w:t>
            </w:r>
            <w:proofErr w:type="spellEnd"/>
            <w:r w:rsidRPr="009D427F">
              <w:rPr>
                <w:rFonts w:ascii="Times New Roman" w:hAnsi="Times New Roman"/>
                <w:sz w:val="24"/>
                <w:szCs w:val="24"/>
              </w:rPr>
              <w:t xml:space="preserve">, раствор; не менее 12 x 20 мл   Раствор </w:t>
            </w:r>
            <w:proofErr w:type="spellStart"/>
            <w:r w:rsidRPr="009D427F">
              <w:rPr>
                <w:rFonts w:ascii="Times New Roman" w:hAnsi="Times New Roman"/>
                <w:sz w:val="24"/>
                <w:szCs w:val="24"/>
              </w:rPr>
              <w:t>забуференного</w:t>
            </w:r>
            <w:proofErr w:type="spellEnd"/>
            <w:r w:rsidRPr="009D427F">
              <w:rPr>
                <w:rFonts w:ascii="Times New Roman" w:hAnsi="Times New Roman"/>
                <w:sz w:val="24"/>
                <w:szCs w:val="24"/>
              </w:rPr>
              <w:t xml:space="preserve"> субстрата, содержащий перекись водорода и консервант. ТРИС/ЭДТА буфер, </w:t>
            </w:r>
            <w:proofErr w:type="spellStart"/>
            <w:r w:rsidRPr="009D427F">
              <w:rPr>
                <w:rFonts w:ascii="Times New Roman" w:hAnsi="Times New Roman"/>
                <w:sz w:val="24"/>
                <w:szCs w:val="24"/>
              </w:rPr>
              <w:t>pH</w:t>
            </w:r>
            <w:proofErr w:type="spellEnd"/>
            <w:r w:rsidRPr="009D427F">
              <w:rPr>
                <w:rFonts w:ascii="Times New Roman" w:hAnsi="Times New Roman"/>
                <w:sz w:val="24"/>
                <w:szCs w:val="24"/>
              </w:rPr>
              <w:t xml:space="preserve"> 9  9 x 30 мл, концентрат х50. Раствор </w:t>
            </w:r>
            <w:proofErr w:type="spellStart"/>
            <w:r w:rsidRPr="009D427F">
              <w:rPr>
                <w:rFonts w:ascii="Times New Roman" w:hAnsi="Times New Roman"/>
                <w:sz w:val="24"/>
                <w:szCs w:val="24"/>
              </w:rPr>
              <w:t>Трис</w:t>
            </w:r>
            <w:proofErr w:type="spellEnd"/>
            <w:r w:rsidRPr="009D427F">
              <w:rPr>
                <w:rFonts w:ascii="Times New Roman" w:hAnsi="Times New Roman"/>
                <w:sz w:val="24"/>
                <w:szCs w:val="24"/>
              </w:rPr>
              <w:t>-буфера, содержащий Твин 20, рН 7,6 (±0,1) 4 x 1 л, концентрат х20. Не менее 3х40мл -мышиный линкер готовый к использованию (</w:t>
            </w:r>
            <w:proofErr w:type="spellStart"/>
            <w:r w:rsidRPr="009D427F">
              <w:rPr>
                <w:rFonts w:ascii="Times New Roman" w:hAnsi="Times New Roman"/>
                <w:sz w:val="24"/>
                <w:szCs w:val="24"/>
              </w:rPr>
              <w:t>Забуференный</w:t>
            </w:r>
            <w:proofErr w:type="spellEnd"/>
            <w:r w:rsidRPr="009D427F">
              <w:rPr>
                <w:rFonts w:ascii="Times New Roman" w:hAnsi="Times New Roman"/>
                <w:sz w:val="24"/>
                <w:szCs w:val="24"/>
              </w:rPr>
              <w:t xml:space="preserve"> раствор, содержащий белки-стабилизаторы и антимикробные агенты)</w:t>
            </w:r>
          </w:p>
        </w:tc>
        <w:tc>
          <w:tcPr>
            <w:tcW w:w="788" w:type="dxa"/>
            <w:hideMark/>
          </w:tcPr>
          <w:p w:rsidR="009D427F" w:rsidRPr="009D427F" w:rsidRDefault="009D427F" w:rsidP="00B4217E">
            <w:pPr>
              <w:jc w:val="center"/>
              <w:rPr>
                <w:rFonts w:ascii="Times New Roman" w:hAnsi="Times New Roman"/>
                <w:sz w:val="24"/>
                <w:szCs w:val="24"/>
              </w:rPr>
            </w:pPr>
            <w:proofErr w:type="spellStart"/>
            <w:r w:rsidRPr="009D427F">
              <w:rPr>
                <w:rFonts w:ascii="Times New Roman" w:hAnsi="Times New Roman"/>
                <w:sz w:val="24"/>
                <w:szCs w:val="24"/>
              </w:rPr>
              <w:lastRenderedPageBreak/>
              <w:t>шт</w:t>
            </w:r>
            <w:proofErr w:type="spellEnd"/>
          </w:p>
        </w:tc>
        <w:tc>
          <w:tcPr>
            <w:tcW w:w="632"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10</w:t>
            </w:r>
          </w:p>
        </w:tc>
        <w:tc>
          <w:tcPr>
            <w:tcW w:w="1454" w:type="dxa"/>
            <w:hideMark/>
          </w:tcPr>
          <w:p w:rsidR="009D427F" w:rsidRPr="009D427F" w:rsidRDefault="009D427F" w:rsidP="00B4217E">
            <w:pPr>
              <w:jc w:val="center"/>
              <w:rPr>
                <w:rFonts w:ascii="Times New Roman" w:hAnsi="Times New Roman"/>
                <w:sz w:val="24"/>
                <w:szCs w:val="24"/>
              </w:rPr>
            </w:pPr>
            <w:r w:rsidRPr="009D427F">
              <w:rPr>
                <w:rFonts w:ascii="Times New Roman" w:hAnsi="Times New Roman"/>
                <w:sz w:val="24"/>
                <w:szCs w:val="24"/>
              </w:rPr>
              <w:t>20.59.52.199</w:t>
            </w:r>
          </w:p>
        </w:tc>
        <w:tc>
          <w:tcPr>
            <w:tcW w:w="1711"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c>
          <w:tcPr>
            <w:tcW w:w="1360" w:type="dxa"/>
            <w:shd w:val="clear" w:color="auto" w:fill="FFFF99"/>
          </w:tcPr>
          <w:p w:rsidR="009D427F" w:rsidRPr="009D427F" w:rsidRDefault="009D427F" w:rsidP="009D427F">
            <w:pPr>
              <w:rPr>
                <w:rFonts w:ascii="Times New Roman" w:hAnsi="Times New Roman"/>
                <w:sz w:val="24"/>
                <w:szCs w:val="24"/>
              </w:rPr>
            </w:pPr>
          </w:p>
        </w:tc>
      </w:tr>
    </w:tbl>
    <w:p w:rsidR="00B4217E" w:rsidRDefault="00B4217E" w:rsidP="000820E3">
      <w:pPr>
        <w:rPr>
          <w:rFonts w:ascii="Calibri" w:eastAsia="Times New Roman" w:hAnsi="Calibri" w:cs="Times New Roman"/>
        </w:rPr>
      </w:pPr>
    </w:p>
    <w:p w:rsidR="00170252" w:rsidRPr="00B4217E" w:rsidRDefault="00B4217E" w:rsidP="000820E3">
      <w:pPr>
        <w:rPr>
          <w:rFonts w:ascii="Times New Roman" w:hAnsi="Times New Roman" w:cs="Times New Roman"/>
          <w:b/>
          <w:sz w:val="28"/>
          <w:szCs w:val="28"/>
        </w:rPr>
      </w:pPr>
      <w:r w:rsidRPr="009D427F">
        <w:rPr>
          <w:rFonts w:ascii="Times New Roman" w:eastAsia="Times New Roman" w:hAnsi="Times New Roman" w:cs="Times New Roman"/>
        </w:rPr>
        <w:t>*В соответствии с Постановлением Правительства РФ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 Заказчик вправе указать в плане закупок, плане-графике закупок, формах обоснования закупок, извещении об осуществлении закупки, приглашении и документации о закупке иную и (или) дополнительную информацию, а также дополнительные и (или) иные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 и требуются Заказчику в соответствии с особенностями проводимых исследований</w:t>
      </w:r>
    </w:p>
    <w:sectPr w:rsidR="00170252" w:rsidRPr="00B4217E" w:rsidSect="009D427F">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CD" w:rsidRDefault="000016CD">
      <w:pPr>
        <w:spacing w:after="0" w:line="240" w:lineRule="auto"/>
      </w:pPr>
      <w:r>
        <w:separator/>
      </w:r>
    </w:p>
  </w:endnote>
  <w:endnote w:type="continuationSeparator" w:id="0">
    <w:p w:rsidR="000016CD" w:rsidRDefault="0000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B2148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A43AB">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016C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0016C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A43AB">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0016C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A43A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CD" w:rsidRDefault="000016CD">
      <w:pPr>
        <w:spacing w:after="0" w:line="240" w:lineRule="auto"/>
      </w:pPr>
      <w:r>
        <w:separator/>
      </w:r>
    </w:p>
  </w:footnote>
  <w:footnote w:type="continuationSeparator" w:id="0">
    <w:p w:rsidR="000016CD" w:rsidRDefault="00001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16CD"/>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33610"/>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0CB7"/>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D427F"/>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148E"/>
    <w:rsid w:val="00B23D79"/>
    <w:rsid w:val="00B24019"/>
    <w:rsid w:val="00B32574"/>
    <w:rsid w:val="00B33706"/>
    <w:rsid w:val="00B35BFC"/>
    <w:rsid w:val="00B4217E"/>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81B91"/>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A43AB"/>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39"/>
    <w:rsid w:val="009D427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39"/>
    <w:rsid w:val="009D427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CCC2-BC98-4438-9072-A980E2FA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3714</Words>
  <Characters>21174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2020-03-19T18:03:00Z</dcterms:created>
  <dcterms:modified xsi:type="dcterms:W3CDTF">2020-03-20T10:34:00Z</dcterms:modified>
</cp:coreProperties>
</file>