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03.08.2020 № 05-07/785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10.08.2020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5151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1"/>
        <w:gridCol w:w="882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№6</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16.09.2020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заключения Контракта.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01.09.2021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191"/>
        <w:gridCol w:w="377"/>
        <w:gridCol w:w="944"/>
        <w:gridCol w:w="559"/>
        <w:gridCol w:w="1800"/>
        <w:gridCol w:w="774"/>
        <w:gridCol w:w="645"/>
        <w:gridCol w:w="1484"/>
        <w:gridCol w:w="1442"/>
        <w:gridCol w:w="1039"/>
        <w:gridCol w:w="1113"/>
        <w:gridCol w:w="962"/>
        <w:gridCol w:w="1070"/>
        <w:gridCol w:w="1695"/>
        <w:gridCol w:w="1610"/>
      </w:tblGrid>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shd w:val="clear" w:color="FFFFFF" w:fill="auto"/>
            <w:vAlign w:val="bottom"/>
          </w:tcPr>
          <w:p w:rsidR="001026C0" w:rsidRPr="001026C0" w:rsidRDefault="001026C0" w:rsidP="001026C0">
            <w:pPr>
              <w:rPr>
                <w:szCs w:val="16"/>
              </w:rPr>
            </w:pPr>
          </w:p>
        </w:tc>
        <w:tc>
          <w:tcPr>
            <w:tcW w:w="944" w:type="dxa"/>
            <w:shd w:val="clear" w:color="FFFFFF" w:fill="auto"/>
            <w:vAlign w:val="bottom"/>
          </w:tcPr>
          <w:p w:rsidR="001026C0" w:rsidRPr="001026C0" w:rsidRDefault="001026C0" w:rsidP="001026C0">
            <w:pPr>
              <w:rPr>
                <w:szCs w:val="16"/>
              </w:rPr>
            </w:pPr>
          </w:p>
        </w:tc>
        <w:tc>
          <w:tcPr>
            <w:tcW w:w="559" w:type="dxa"/>
            <w:shd w:val="clear" w:color="FFFFFF" w:fill="auto"/>
            <w:vAlign w:val="bottom"/>
          </w:tcPr>
          <w:p w:rsidR="001026C0" w:rsidRPr="001026C0" w:rsidRDefault="001026C0" w:rsidP="001026C0">
            <w:pPr>
              <w:rPr>
                <w:szCs w:val="16"/>
              </w:rPr>
            </w:pPr>
          </w:p>
        </w:tc>
        <w:tc>
          <w:tcPr>
            <w:tcW w:w="1800" w:type="dxa"/>
            <w:shd w:val="clear" w:color="FFFFFF" w:fill="auto"/>
            <w:vAlign w:val="bottom"/>
          </w:tcPr>
          <w:p w:rsidR="001026C0" w:rsidRPr="001026C0" w:rsidRDefault="001026C0" w:rsidP="001026C0">
            <w:pPr>
              <w:rPr>
                <w:szCs w:val="16"/>
              </w:rPr>
            </w:pPr>
          </w:p>
        </w:tc>
        <w:tc>
          <w:tcPr>
            <w:tcW w:w="774" w:type="dxa"/>
            <w:shd w:val="clear" w:color="FFFFFF" w:fill="auto"/>
            <w:vAlign w:val="bottom"/>
          </w:tcPr>
          <w:p w:rsidR="001026C0" w:rsidRPr="001026C0" w:rsidRDefault="001026C0" w:rsidP="001026C0">
            <w:pPr>
              <w:rPr>
                <w:szCs w:val="16"/>
              </w:rPr>
            </w:pPr>
          </w:p>
        </w:tc>
        <w:tc>
          <w:tcPr>
            <w:tcW w:w="645" w:type="dxa"/>
            <w:shd w:val="clear" w:color="FFFFFF" w:fill="auto"/>
            <w:vAlign w:val="bottom"/>
          </w:tcPr>
          <w:p w:rsidR="001026C0" w:rsidRPr="001026C0" w:rsidRDefault="001026C0" w:rsidP="001026C0">
            <w:pPr>
              <w:rPr>
                <w:szCs w:val="16"/>
              </w:rPr>
            </w:pPr>
          </w:p>
        </w:tc>
        <w:tc>
          <w:tcPr>
            <w:tcW w:w="1484" w:type="dxa"/>
            <w:shd w:val="clear" w:color="FFFFFF" w:fill="auto"/>
            <w:vAlign w:val="bottom"/>
          </w:tcPr>
          <w:p w:rsidR="001026C0" w:rsidRPr="001026C0" w:rsidRDefault="001026C0" w:rsidP="001026C0">
            <w:pPr>
              <w:rPr>
                <w:szCs w:val="16"/>
              </w:rPr>
            </w:pPr>
          </w:p>
        </w:tc>
        <w:tc>
          <w:tcPr>
            <w:tcW w:w="1442" w:type="dxa"/>
            <w:shd w:val="clear" w:color="FFFFFF" w:fill="auto"/>
            <w:vAlign w:val="bottom"/>
          </w:tcPr>
          <w:p w:rsidR="001026C0" w:rsidRPr="001026C0" w:rsidRDefault="001026C0" w:rsidP="001026C0">
            <w:pPr>
              <w:rPr>
                <w:szCs w:val="16"/>
              </w:rPr>
            </w:pPr>
          </w:p>
        </w:tc>
        <w:tc>
          <w:tcPr>
            <w:tcW w:w="1039" w:type="dxa"/>
            <w:shd w:val="clear" w:color="FFFFFF" w:fill="auto"/>
            <w:vAlign w:val="bottom"/>
          </w:tcPr>
          <w:p w:rsidR="001026C0" w:rsidRPr="001026C0" w:rsidRDefault="001026C0" w:rsidP="001026C0">
            <w:pPr>
              <w:rPr>
                <w:szCs w:val="16"/>
              </w:rPr>
            </w:pPr>
          </w:p>
        </w:tc>
        <w:tc>
          <w:tcPr>
            <w:tcW w:w="1113" w:type="dxa"/>
            <w:shd w:val="clear" w:color="FFFFFF" w:fill="auto"/>
            <w:vAlign w:val="bottom"/>
          </w:tcPr>
          <w:p w:rsidR="001026C0" w:rsidRPr="001026C0" w:rsidRDefault="001026C0" w:rsidP="001026C0">
            <w:pPr>
              <w:rPr>
                <w:szCs w:val="16"/>
              </w:rPr>
            </w:pPr>
          </w:p>
        </w:tc>
        <w:tc>
          <w:tcPr>
            <w:tcW w:w="962" w:type="dxa"/>
            <w:shd w:val="clear" w:color="FFFFFF" w:fill="auto"/>
            <w:vAlign w:val="bottom"/>
          </w:tcPr>
          <w:p w:rsidR="001026C0" w:rsidRPr="001026C0" w:rsidRDefault="001026C0" w:rsidP="001026C0">
            <w:pPr>
              <w:rPr>
                <w:szCs w:val="16"/>
              </w:rPr>
            </w:pPr>
          </w:p>
        </w:tc>
        <w:tc>
          <w:tcPr>
            <w:tcW w:w="1070" w:type="dxa"/>
            <w:shd w:val="clear" w:color="FFFFFF" w:fill="auto"/>
            <w:vAlign w:val="bottom"/>
          </w:tcPr>
          <w:p w:rsidR="001026C0" w:rsidRPr="001026C0" w:rsidRDefault="001026C0" w:rsidP="001026C0">
            <w:pPr>
              <w:rPr>
                <w:szCs w:val="16"/>
              </w:rPr>
            </w:pPr>
          </w:p>
        </w:tc>
        <w:tc>
          <w:tcPr>
            <w:tcW w:w="1695" w:type="dxa"/>
            <w:shd w:val="clear" w:color="FFFFFF" w:fill="auto"/>
            <w:vAlign w:val="bottom"/>
          </w:tcPr>
          <w:p w:rsidR="001026C0" w:rsidRPr="001026C0" w:rsidRDefault="001026C0" w:rsidP="001026C0">
            <w:pPr>
              <w:rPr>
                <w:szCs w:val="16"/>
              </w:rPr>
            </w:pPr>
          </w:p>
        </w:tc>
        <w:tc>
          <w:tcPr>
            <w:tcW w:w="1610" w:type="dxa"/>
            <w:shd w:val="clear" w:color="FFFFFF" w:fill="auto"/>
            <w:vAlign w:val="bottom"/>
          </w:tcPr>
          <w:p w:rsidR="001026C0" w:rsidRPr="001026C0" w:rsidRDefault="001026C0" w:rsidP="001026C0">
            <w:pPr>
              <w:rPr>
                <w:szCs w:val="16"/>
              </w:rPr>
            </w:pPr>
          </w:p>
        </w:tc>
      </w:tr>
      <w:tr w:rsidR="001026C0" w:rsidRPr="001026C0" w:rsidTr="009C5D38">
        <w:trPr>
          <w:trHeight w:val="60"/>
        </w:trPr>
        <w:tc>
          <w:tcPr>
            <w:tcW w:w="191" w:type="dxa"/>
            <w:shd w:val="clear" w:color="FFFFFF" w:fill="auto"/>
            <w:vAlign w:val="bottom"/>
          </w:tcPr>
          <w:p w:rsidR="001026C0" w:rsidRPr="001026C0" w:rsidRDefault="001026C0" w:rsidP="001026C0">
            <w:pPr>
              <w:jc w:val="center"/>
              <w:rPr>
                <w:rFonts w:ascii="Times New Roman" w:hAnsi="Times New Roman"/>
                <w:b/>
              </w:rPr>
            </w:pPr>
          </w:p>
        </w:tc>
        <w:tc>
          <w:tcPr>
            <w:tcW w:w="15514" w:type="dxa"/>
            <w:gridSpan w:val="14"/>
            <w:shd w:val="clear" w:color="FFFFFF" w:fill="auto"/>
            <w:vAlign w:val="bottom"/>
          </w:tcPr>
          <w:p w:rsidR="001026C0" w:rsidRPr="001026C0" w:rsidRDefault="001026C0" w:rsidP="001026C0">
            <w:pPr>
              <w:jc w:val="center"/>
              <w:rPr>
                <w:rFonts w:ascii="Times New Roman" w:hAnsi="Times New Roman"/>
                <w:b/>
              </w:rPr>
            </w:pPr>
          </w:p>
        </w:tc>
      </w:tr>
      <w:tr w:rsidR="001026C0" w:rsidRPr="001026C0" w:rsidTr="009C5D38">
        <w:trPr>
          <w:trHeight w:val="60"/>
        </w:trPr>
        <w:tc>
          <w:tcPr>
            <w:tcW w:w="191" w:type="dxa"/>
            <w:shd w:val="clear" w:color="FFFFFF" w:fill="auto"/>
            <w:vAlign w:val="bottom"/>
          </w:tcPr>
          <w:p w:rsidR="001026C0" w:rsidRPr="001026C0" w:rsidRDefault="001026C0" w:rsidP="001026C0">
            <w:pPr>
              <w:jc w:val="center"/>
              <w:rPr>
                <w:b/>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Материал</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Технические характеристики</w:t>
            </w:r>
          </w:p>
        </w:tc>
        <w:tc>
          <w:tcPr>
            <w:tcW w:w="645" w:type="dxa"/>
            <w:tcBorders>
              <w:top w:val="single" w:sz="4" w:space="0" w:color="auto"/>
              <w:left w:val="single" w:sz="4" w:space="0" w:color="auto"/>
              <w:bottom w:val="single" w:sz="4" w:space="0" w:color="auto"/>
              <w:right w:val="single" w:sz="4" w:space="0" w:color="auto"/>
            </w:tcBorders>
            <w:shd w:val="clear" w:color="FFFFFF" w:fill="FFFF00"/>
            <w:vAlign w:val="center"/>
          </w:tcPr>
          <w:p w:rsidR="001026C0" w:rsidRPr="001026C0" w:rsidRDefault="001026C0" w:rsidP="001026C0">
            <w:pPr>
              <w:jc w:val="center"/>
              <w:rPr>
                <w:rFonts w:ascii="Times New Roman" w:hAnsi="Times New Roman"/>
              </w:rPr>
            </w:pPr>
            <w:r w:rsidRPr="001026C0">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1026C0" w:rsidRPr="001026C0" w:rsidRDefault="001026C0" w:rsidP="001026C0">
            <w:pPr>
              <w:jc w:val="center"/>
              <w:rPr>
                <w:rFonts w:ascii="Times New Roman" w:hAnsi="Times New Roman"/>
              </w:rPr>
            </w:pPr>
            <w:r w:rsidRPr="001026C0">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Количество единиц измерения*</w:t>
            </w:r>
          </w:p>
        </w:tc>
        <w:tc>
          <w:tcPr>
            <w:tcW w:w="962" w:type="dxa"/>
            <w:tcBorders>
              <w:top w:val="single" w:sz="4" w:space="0" w:color="auto"/>
              <w:left w:val="single" w:sz="4" w:space="0" w:color="auto"/>
              <w:bottom w:val="single" w:sz="4" w:space="0" w:color="auto"/>
              <w:right w:val="single" w:sz="4" w:space="0" w:color="auto"/>
            </w:tcBorders>
            <w:shd w:val="clear" w:color="FFFFFF" w:fill="FFFF00"/>
            <w:vAlign w:val="center"/>
          </w:tcPr>
          <w:p w:rsidR="001026C0" w:rsidRPr="001026C0" w:rsidRDefault="001026C0" w:rsidP="001026C0">
            <w:pPr>
              <w:jc w:val="center"/>
              <w:rPr>
                <w:rFonts w:ascii="Times New Roman" w:hAnsi="Times New Roman"/>
              </w:rPr>
            </w:pPr>
            <w:r w:rsidRPr="001026C0">
              <w:rPr>
                <w:rFonts w:ascii="Times New Roman" w:hAnsi="Times New Roman"/>
              </w:rPr>
              <w:t>Цена за ед. без НДС и опт. надбавки</w:t>
            </w:r>
          </w:p>
        </w:tc>
        <w:tc>
          <w:tcPr>
            <w:tcW w:w="1070" w:type="dxa"/>
            <w:tcBorders>
              <w:top w:val="single" w:sz="4" w:space="0" w:color="auto"/>
              <w:left w:val="single" w:sz="4" w:space="0" w:color="auto"/>
              <w:bottom w:val="single" w:sz="4" w:space="0" w:color="auto"/>
              <w:right w:val="single" w:sz="4" w:space="0" w:color="auto"/>
            </w:tcBorders>
            <w:shd w:val="clear" w:color="FFFFFF" w:fill="FFFF00"/>
            <w:vAlign w:val="center"/>
          </w:tcPr>
          <w:p w:rsidR="001026C0" w:rsidRPr="001026C0" w:rsidRDefault="001026C0" w:rsidP="001026C0">
            <w:pPr>
              <w:jc w:val="center"/>
              <w:rPr>
                <w:rFonts w:ascii="Times New Roman" w:hAnsi="Times New Roman"/>
              </w:rPr>
            </w:pPr>
            <w:r w:rsidRPr="001026C0">
              <w:rPr>
                <w:rFonts w:ascii="Times New Roman" w:hAnsi="Times New Roman"/>
              </w:rPr>
              <w:t>Цена за ед. с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1026C0" w:rsidRPr="001026C0" w:rsidRDefault="001026C0" w:rsidP="001026C0">
            <w:pPr>
              <w:jc w:val="center"/>
              <w:rPr>
                <w:rFonts w:ascii="Times New Roman" w:hAnsi="Times New Roman"/>
              </w:rPr>
            </w:pPr>
            <w:r w:rsidRPr="001026C0">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1026C0" w:rsidRPr="001026C0" w:rsidRDefault="001026C0" w:rsidP="001026C0">
            <w:pPr>
              <w:jc w:val="center"/>
              <w:rPr>
                <w:rFonts w:ascii="Times New Roman" w:hAnsi="Times New Roman"/>
              </w:rPr>
            </w:pPr>
            <w:r w:rsidRPr="001026C0">
              <w:rPr>
                <w:rFonts w:ascii="Times New Roman" w:hAnsi="Times New Roman"/>
              </w:rPr>
              <w:t>Количество потребительских единиц</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1</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Аскорбиновая кислота</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rPr>
                <w:rFonts w:ascii="Times New Roman" w:hAnsi="Times New Roman"/>
              </w:rPr>
            </w:pPr>
            <w:r w:rsidRPr="001026C0">
              <w:rPr>
                <w:rFonts w:ascii="Times New Roman" w:hAnsi="Times New Roman"/>
              </w:rPr>
              <w:t>МНН: АСКОРБИНОВАЯ КИСЛОТА</w:t>
            </w:r>
            <w:r w:rsidRPr="001026C0">
              <w:rPr>
                <w:rFonts w:ascii="Times New Roman" w:hAnsi="Times New Roman"/>
              </w:rPr>
              <w:br/>
              <w:t>Лекарственная форма: раствор для внутривенного и внутримышечного введения</w:t>
            </w:r>
            <w:r w:rsidRPr="001026C0">
              <w:rPr>
                <w:rFonts w:ascii="Times New Roman" w:hAnsi="Times New Roman"/>
              </w:rPr>
              <w:br/>
              <w:t>Дозировка: 50 мг/мл</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1026C0" w:rsidRPr="001026C0" w:rsidRDefault="001026C0" w:rsidP="001026C0">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21.10.51.126-000001-1-00095-0000000000000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20 000</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Борная кислота + Цинка сульфат</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rPr>
                <w:rFonts w:ascii="Times New Roman" w:hAnsi="Times New Roman"/>
              </w:rPr>
            </w:pPr>
            <w:r w:rsidRPr="001026C0">
              <w:rPr>
                <w:rFonts w:ascii="Times New Roman" w:hAnsi="Times New Roman"/>
              </w:rPr>
              <w:t>МНН: БОРНАЯ КИСЛОТА+ЦИНКА СУЛЬФАТ</w:t>
            </w:r>
            <w:r w:rsidRPr="001026C0">
              <w:rPr>
                <w:rFonts w:ascii="Times New Roman" w:hAnsi="Times New Roman"/>
              </w:rPr>
              <w:br/>
              <w:t>Лекарственная форма: капли глазные</w:t>
            </w:r>
            <w:r w:rsidRPr="001026C0">
              <w:rPr>
                <w:rFonts w:ascii="Times New Roman" w:hAnsi="Times New Roman"/>
              </w:rPr>
              <w:br/>
              <w:t>Дозировка: не указано</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1026C0" w:rsidRPr="001026C0" w:rsidRDefault="001026C0" w:rsidP="001026C0">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21.20.10.261-000049-1-00010-0000000000000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2 000</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3</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Гиосцина бутилбромид</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rPr>
                <w:rFonts w:ascii="Times New Roman" w:hAnsi="Times New Roman"/>
              </w:rPr>
            </w:pPr>
            <w:r w:rsidRPr="001026C0">
              <w:rPr>
                <w:rFonts w:ascii="Times New Roman" w:hAnsi="Times New Roman"/>
              </w:rPr>
              <w:t>МНН: ГИОСЦИНА БУТИЛБРОМИД</w:t>
            </w:r>
            <w:r w:rsidRPr="001026C0">
              <w:rPr>
                <w:rFonts w:ascii="Times New Roman" w:hAnsi="Times New Roman"/>
              </w:rPr>
              <w:br/>
              <w:t>Лекарственная форма: суппозитории ректальные</w:t>
            </w:r>
            <w:r w:rsidRPr="001026C0">
              <w:rPr>
                <w:rFonts w:ascii="Times New Roman" w:hAnsi="Times New Roman"/>
              </w:rPr>
              <w:br/>
              <w:t>Дозировка: 10 мг</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1026C0" w:rsidRPr="001026C0" w:rsidRDefault="001026C0" w:rsidP="001026C0">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21.20.10.113-000024-1-00078-0000000000000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200</w:t>
            </w:r>
          </w:p>
        </w:tc>
        <w:tc>
          <w:tcPr>
            <w:tcW w:w="96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шт</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200</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4</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Добутамин</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rPr>
                <w:rFonts w:ascii="Times New Roman" w:hAnsi="Times New Roman"/>
              </w:rPr>
            </w:pPr>
            <w:r w:rsidRPr="001026C0">
              <w:rPr>
                <w:rFonts w:ascii="Times New Roman" w:hAnsi="Times New Roman"/>
              </w:rPr>
              <w:t>МНН: ДОБУТАМИН</w:t>
            </w:r>
            <w:r w:rsidRPr="001026C0">
              <w:rPr>
                <w:rFonts w:ascii="Times New Roman" w:hAnsi="Times New Roman"/>
              </w:rPr>
              <w:br/>
              <w:t>Лекарственная форма: концентрат для приготовления раствора для инфузий</w:t>
            </w:r>
            <w:r w:rsidRPr="001026C0">
              <w:rPr>
                <w:rFonts w:ascii="Times New Roman" w:hAnsi="Times New Roman"/>
              </w:rPr>
              <w:br/>
              <w:t>Дозировка: 12.5 мг/мл</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1026C0" w:rsidRPr="001026C0" w:rsidRDefault="001026C0" w:rsidP="001026C0">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21.20.10.141-000034-1-00143-0000000000000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500</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5</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Клонидин</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rPr>
                <w:rFonts w:ascii="Times New Roman" w:hAnsi="Times New Roman"/>
              </w:rPr>
            </w:pPr>
            <w:r w:rsidRPr="001026C0">
              <w:rPr>
                <w:rFonts w:ascii="Times New Roman" w:hAnsi="Times New Roman"/>
              </w:rPr>
              <w:t>МНН: КЛОНИДИН</w:t>
            </w:r>
            <w:r w:rsidRPr="001026C0">
              <w:rPr>
                <w:rFonts w:ascii="Times New Roman" w:hAnsi="Times New Roman"/>
              </w:rPr>
              <w:br/>
              <w:t>Лекарственная форма: раствор для внутривенного введения</w:t>
            </w:r>
            <w:r w:rsidRPr="001026C0">
              <w:rPr>
                <w:rFonts w:ascii="Times New Roman" w:hAnsi="Times New Roman"/>
              </w:rPr>
              <w:br/>
              <w:t>Дозировка: 0.1 мг/мл</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1026C0" w:rsidRPr="001026C0" w:rsidRDefault="001026C0" w:rsidP="001026C0">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21.20.10.142-000008-1-00016-0000000000000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600</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6</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Пиридоксин</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rPr>
                <w:rFonts w:ascii="Times New Roman" w:hAnsi="Times New Roman"/>
              </w:rPr>
            </w:pPr>
            <w:r w:rsidRPr="001026C0">
              <w:rPr>
                <w:rFonts w:ascii="Times New Roman" w:hAnsi="Times New Roman"/>
              </w:rPr>
              <w:t>МНН: ПИРИДОКСИН</w:t>
            </w:r>
            <w:r w:rsidRPr="001026C0">
              <w:rPr>
                <w:rFonts w:ascii="Times New Roman" w:hAnsi="Times New Roman"/>
              </w:rPr>
              <w:br/>
              <w:t>Лекарственная форма: раствор для инъекций</w:t>
            </w:r>
            <w:r w:rsidRPr="001026C0">
              <w:rPr>
                <w:rFonts w:ascii="Times New Roman" w:hAnsi="Times New Roman"/>
              </w:rPr>
              <w:br/>
              <w:t>Дозировка: 50 мг/мл</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1026C0" w:rsidRPr="001026C0" w:rsidRDefault="001026C0" w:rsidP="001026C0">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21.10.51.129-000004-1-00018-0000000000000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1 000</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7</w:t>
            </w:r>
          </w:p>
        </w:tc>
        <w:tc>
          <w:tcPr>
            <w:tcW w:w="150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Тиамин</w:t>
            </w:r>
          </w:p>
        </w:tc>
        <w:tc>
          <w:tcPr>
            <w:tcW w:w="25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rPr>
                <w:rFonts w:ascii="Times New Roman" w:hAnsi="Times New Roman"/>
              </w:rPr>
            </w:pPr>
            <w:r w:rsidRPr="001026C0">
              <w:rPr>
                <w:rFonts w:ascii="Times New Roman" w:hAnsi="Times New Roman"/>
              </w:rPr>
              <w:t>МНН: ТИАМИН</w:t>
            </w:r>
            <w:r w:rsidRPr="001026C0">
              <w:rPr>
                <w:rFonts w:ascii="Times New Roman" w:hAnsi="Times New Roman"/>
              </w:rPr>
              <w:br/>
              <w:t>Лекарственная форма: раствор для внутримышечного введения</w:t>
            </w:r>
            <w:r w:rsidRPr="001026C0">
              <w:rPr>
                <w:rFonts w:ascii="Times New Roman" w:hAnsi="Times New Roman"/>
              </w:rPr>
              <w:br/>
              <w:t>Дозировка: 50 мг/мл</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1026C0" w:rsidRPr="001026C0" w:rsidRDefault="001026C0" w:rsidP="001026C0">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21.10.51.124-000002-1-00008-0000000000000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026C0" w:rsidRPr="001026C0" w:rsidRDefault="001026C0" w:rsidP="001026C0">
            <w:pPr>
              <w:jc w:val="center"/>
              <w:rPr>
                <w:rFonts w:ascii="Times New Roman" w:hAnsi="Times New Roman"/>
              </w:rPr>
            </w:pPr>
            <w:r w:rsidRPr="001026C0">
              <w:rPr>
                <w:rFonts w:ascii="Times New Roman" w:hAnsi="Times New Roman"/>
              </w:rPr>
              <w:t>5 000</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shd w:val="clear" w:color="FFFFFF" w:fill="auto"/>
            <w:vAlign w:val="bottom"/>
          </w:tcPr>
          <w:p w:rsidR="001026C0" w:rsidRPr="001026C0" w:rsidRDefault="001026C0" w:rsidP="001026C0">
            <w:pPr>
              <w:rPr>
                <w:szCs w:val="16"/>
              </w:rPr>
            </w:pPr>
          </w:p>
        </w:tc>
        <w:tc>
          <w:tcPr>
            <w:tcW w:w="944" w:type="dxa"/>
            <w:shd w:val="clear" w:color="FFFFFF" w:fill="auto"/>
            <w:vAlign w:val="bottom"/>
          </w:tcPr>
          <w:p w:rsidR="001026C0" w:rsidRPr="001026C0" w:rsidRDefault="001026C0" w:rsidP="001026C0">
            <w:pPr>
              <w:rPr>
                <w:szCs w:val="16"/>
              </w:rPr>
            </w:pPr>
          </w:p>
        </w:tc>
        <w:tc>
          <w:tcPr>
            <w:tcW w:w="559" w:type="dxa"/>
            <w:shd w:val="clear" w:color="FFFFFF" w:fill="auto"/>
            <w:vAlign w:val="bottom"/>
          </w:tcPr>
          <w:p w:rsidR="001026C0" w:rsidRPr="001026C0" w:rsidRDefault="001026C0" w:rsidP="001026C0">
            <w:pPr>
              <w:rPr>
                <w:szCs w:val="16"/>
              </w:rPr>
            </w:pPr>
          </w:p>
        </w:tc>
        <w:tc>
          <w:tcPr>
            <w:tcW w:w="1800" w:type="dxa"/>
            <w:shd w:val="clear" w:color="FFFFFF" w:fill="auto"/>
            <w:vAlign w:val="bottom"/>
          </w:tcPr>
          <w:p w:rsidR="001026C0" w:rsidRPr="001026C0" w:rsidRDefault="001026C0" w:rsidP="001026C0">
            <w:pPr>
              <w:rPr>
                <w:szCs w:val="16"/>
              </w:rPr>
            </w:pPr>
          </w:p>
        </w:tc>
        <w:tc>
          <w:tcPr>
            <w:tcW w:w="774" w:type="dxa"/>
            <w:shd w:val="clear" w:color="FFFFFF" w:fill="auto"/>
            <w:vAlign w:val="bottom"/>
          </w:tcPr>
          <w:p w:rsidR="001026C0" w:rsidRPr="001026C0" w:rsidRDefault="001026C0" w:rsidP="001026C0">
            <w:pPr>
              <w:rPr>
                <w:szCs w:val="16"/>
              </w:rPr>
            </w:pPr>
          </w:p>
        </w:tc>
        <w:tc>
          <w:tcPr>
            <w:tcW w:w="645" w:type="dxa"/>
            <w:shd w:val="clear" w:color="FFFFFF" w:fill="auto"/>
            <w:vAlign w:val="bottom"/>
          </w:tcPr>
          <w:p w:rsidR="001026C0" w:rsidRPr="001026C0" w:rsidRDefault="001026C0" w:rsidP="001026C0">
            <w:pPr>
              <w:rPr>
                <w:szCs w:val="16"/>
              </w:rPr>
            </w:pPr>
          </w:p>
        </w:tc>
        <w:tc>
          <w:tcPr>
            <w:tcW w:w="1484" w:type="dxa"/>
            <w:shd w:val="clear" w:color="FFFFFF" w:fill="auto"/>
            <w:vAlign w:val="bottom"/>
          </w:tcPr>
          <w:p w:rsidR="001026C0" w:rsidRPr="001026C0" w:rsidRDefault="001026C0" w:rsidP="001026C0">
            <w:pPr>
              <w:rPr>
                <w:szCs w:val="16"/>
              </w:rPr>
            </w:pPr>
          </w:p>
        </w:tc>
        <w:tc>
          <w:tcPr>
            <w:tcW w:w="1442" w:type="dxa"/>
            <w:shd w:val="clear" w:color="FFFFFF" w:fill="auto"/>
            <w:vAlign w:val="bottom"/>
          </w:tcPr>
          <w:p w:rsidR="001026C0" w:rsidRPr="001026C0" w:rsidRDefault="001026C0" w:rsidP="001026C0">
            <w:pPr>
              <w:rPr>
                <w:szCs w:val="16"/>
              </w:rPr>
            </w:pPr>
          </w:p>
        </w:tc>
        <w:tc>
          <w:tcPr>
            <w:tcW w:w="1039" w:type="dxa"/>
            <w:shd w:val="clear" w:color="FFFFFF" w:fill="auto"/>
            <w:vAlign w:val="bottom"/>
          </w:tcPr>
          <w:p w:rsidR="001026C0" w:rsidRPr="001026C0" w:rsidRDefault="001026C0" w:rsidP="001026C0">
            <w:pPr>
              <w:rPr>
                <w:szCs w:val="16"/>
              </w:rPr>
            </w:pPr>
          </w:p>
        </w:tc>
        <w:tc>
          <w:tcPr>
            <w:tcW w:w="1113" w:type="dxa"/>
            <w:shd w:val="clear" w:color="FFFFFF" w:fill="auto"/>
            <w:vAlign w:val="bottom"/>
          </w:tcPr>
          <w:p w:rsidR="001026C0" w:rsidRPr="001026C0" w:rsidRDefault="001026C0" w:rsidP="001026C0">
            <w:pPr>
              <w:rPr>
                <w:szCs w:val="16"/>
              </w:rPr>
            </w:pPr>
          </w:p>
        </w:tc>
        <w:tc>
          <w:tcPr>
            <w:tcW w:w="962" w:type="dxa"/>
            <w:shd w:val="clear" w:color="FFFFFF" w:fill="auto"/>
            <w:vAlign w:val="bottom"/>
          </w:tcPr>
          <w:p w:rsidR="001026C0" w:rsidRPr="001026C0" w:rsidRDefault="001026C0" w:rsidP="001026C0">
            <w:pPr>
              <w:rPr>
                <w:szCs w:val="16"/>
              </w:rPr>
            </w:pPr>
          </w:p>
        </w:tc>
        <w:tc>
          <w:tcPr>
            <w:tcW w:w="1070" w:type="dxa"/>
            <w:shd w:val="clear" w:color="FFFFFF" w:fill="auto"/>
            <w:vAlign w:val="bottom"/>
          </w:tcPr>
          <w:p w:rsidR="001026C0" w:rsidRPr="001026C0" w:rsidRDefault="001026C0" w:rsidP="001026C0">
            <w:pPr>
              <w:rPr>
                <w:szCs w:val="16"/>
              </w:rPr>
            </w:pPr>
          </w:p>
        </w:tc>
        <w:tc>
          <w:tcPr>
            <w:tcW w:w="1695" w:type="dxa"/>
            <w:shd w:val="clear" w:color="FFFFFF" w:fill="auto"/>
            <w:vAlign w:val="bottom"/>
          </w:tcPr>
          <w:p w:rsidR="001026C0" w:rsidRPr="001026C0" w:rsidRDefault="001026C0" w:rsidP="001026C0">
            <w:pPr>
              <w:rPr>
                <w:szCs w:val="16"/>
              </w:rPr>
            </w:pPr>
          </w:p>
        </w:tc>
        <w:tc>
          <w:tcPr>
            <w:tcW w:w="1610" w:type="dxa"/>
            <w:shd w:val="clear" w:color="FFFFFF" w:fill="auto"/>
            <w:vAlign w:val="bottom"/>
          </w:tcPr>
          <w:p w:rsidR="001026C0" w:rsidRPr="001026C0" w:rsidRDefault="001026C0" w:rsidP="001026C0">
            <w:pPr>
              <w:rPr>
                <w:szCs w:val="16"/>
              </w:rPr>
            </w:pP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15514" w:type="dxa"/>
            <w:gridSpan w:val="14"/>
            <w:shd w:val="clear" w:color="FFFFFF" w:fill="auto"/>
            <w:vAlign w:val="bottom"/>
          </w:tcPr>
          <w:p w:rsidR="001026C0" w:rsidRPr="001026C0" w:rsidRDefault="001026C0" w:rsidP="001026C0">
            <w:pPr>
              <w:jc w:val="both"/>
              <w:rPr>
                <w:rFonts w:ascii="Times New Roman" w:hAnsi="Times New Roman"/>
                <w:sz w:val="24"/>
                <w:szCs w:val="24"/>
              </w:rPr>
            </w:pPr>
            <w:r w:rsidRPr="001026C0">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026C0" w:rsidRPr="001026C0" w:rsidTr="009C5D38">
        <w:trPr>
          <w:trHeight w:val="60"/>
        </w:trPr>
        <w:tc>
          <w:tcPr>
            <w:tcW w:w="191" w:type="dxa"/>
            <w:shd w:val="clear" w:color="FFFFFF" w:fill="auto"/>
            <w:vAlign w:val="bottom"/>
          </w:tcPr>
          <w:p w:rsidR="001026C0" w:rsidRPr="001026C0" w:rsidRDefault="001026C0" w:rsidP="001026C0">
            <w:pPr>
              <w:rPr>
                <w:szCs w:val="16"/>
              </w:rPr>
            </w:pPr>
          </w:p>
        </w:tc>
        <w:tc>
          <w:tcPr>
            <w:tcW w:w="377" w:type="dxa"/>
            <w:shd w:val="clear" w:color="FFFFFF" w:fill="FFFF00"/>
            <w:vAlign w:val="bottom"/>
          </w:tcPr>
          <w:p w:rsidR="001026C0" w:rsidRPr="001026C0" w:rsidRDefault="001026C0" w:rsidP="001026C0">
            <w:pPr>
              <w:jc w:val="center"/>
              <w:rPr>
                <w:rFonts w:ascii="Times New Roman" w:hAnsi="Times New Roman"/>
                <w:i/>
                <w:sz w:val="24"/>
                <w:szCs w:val="24"/>
              </w:rPr>
            </w:pPr>
            <w:r w:rsidRPr="001026C0">
              <w:rPr>
                <w:rFonts w:ascii="Times New Roman" w:hAnsi="Times New Roman"/>
                <w:i/>
                <w:sz w:val="24"/>
                <w:szCs w:val="24"/>
              </w:rPr>
              <w:t>*</w:t>
            </w:r>
          </w:p>
        </w:tc>
        <w:tc>
          <w:tcPr>
            <w:tcW w:w="15137" w:type="dxa"/>
            <w:gridSpan w:val="13"/>
            <w:shd w:val="clear" w:color="FFFFFF" w:fill="auto"/>
            <w:vAlign w:val="bottom"/>
          </w:tcPr>
          <w:p w:rsidR="001026C0" w:rsidRPr="001026C0" w:rsidRDefault="001026C0" w:rsidP="001026C0">
            <w:pPr>
              <w:rPr>
                <w:rFonts w:ascii="Times New Roman" w:hAnsi="Times New Roman"/>
                <w:i/>
                <w:sz w:val="24"/>
                <w:szCs w:val="24"/>
              </w:rPr>
            </w:pPr>
            <w:r w:rsidRPr="001026C0">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1026C0">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56" w:rsidRDefault="001B1556">
      <w:pPr>
        <w:spacing w:after="0" w:line="240" w:lineRule="auto"/>
      </w:pPr>
      <w:r>
        <w:separator/>
      </w:r>
    </w:p>
  </w:endnote>
  <w:endnote w:type="continuationSeparator" w:id="0">
    <w:p w:rsidR="001B1556" w:rsidRDefault="001B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5151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51510">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5151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5151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5151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026C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56" w:rsidRDefault="001B1556">
      <w:pPr>
        <w:spacing w:after="0" w:line="240" w:lineRule="auto"/>
      </w:pPr>
      <w:r>
        <w:separator/>
      </w:r>
    </w:p>
  </w:footnote>
  <w:footnote w:type="continuationSeparator" w:id="0">
    <w:p w:rsidR="001B1556" w:rsidRDefault="001B155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26C0"/>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155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1510"/>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6DD2FA-FBD8-4D4C-AFBB-BC45CFD4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026C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C1C1-AC2C-4A8D-90B6-3A6E4977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Киричук Сергей Васильевич</cp:lastModifiedBy>
  <cp:revision>2</cp:revision>
  <cp:lastPrinted>2018-01-19T15:25:00Z</cp:lastPrinted>
  <dcterms:created xsi:type="dcterms:W3CDTF">2020-08-03T12:38:00Z</dcterms:created>
  <dcterms:modified xsi:type="dcterms:W3CDTF">2020-08-03T12:38:00Z</dcterms:modified>
</cp:coreProperties>
</file>