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21.1-03/1398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BE2CA0">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917FE3">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научных лабораторий</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30 (тридцати)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не менее 60 %</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917FE3">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917F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390"/>
        <w:gridCol w:w="5415"/>
        <w:gridCol w:w="861"/>
        <w:gridCol w:w="871"/>
        <w:gridCol w:w="1495"/>
        <w:gridCol w:w="1309"/>
        <w:gridCol w:w="862"/>
        <w:gridCol w:w="1147"/>
        <w:gridCol w:w="1121"/>
      </w:tblGrid>
      <w:tr w:rsidR="00917FE3" w:rsidRPr="00083DA2" w:rsidTr="00153541">
        <w:trPr>
          <w:trHeight w:val="20"/>
          <w:jc w:val="center"/>
        </w:trPr>
        <w:tc>
          <w:tcPr>
            <w:tcW w:w="630" w:type="dxa"/>
            <w:vAlign w:val="center"/>
            <w:hideMark/>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 п/п</w:t>
            </w:r>
          </w:p>
        </w:tc>
        <w:tc>
          <w:tcPr>
            <w:tcW w:w="2390" w:type="dxa"/>
            <w:vAlign w:val="center"/>
            <w:hideMark/>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Наименование товара</w:t>
            </w:r>
          </w:p>
        </w:tc>
        <w:tc>
          <w:tcPr>
            <w:tcW w:w="5415" w:type="dxa"/>
            <w:vAlign w:val="center"/>
            <w:hideMark/>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Требования к качеству, техническим и функциональным характеристикам товара</w:t>
            </w:r>
          </w:p>
        </w:tc>
        <w:tc>
          <w:tcPr>
            <w:tcW w:w="861" w:type="dxa"/>
            <w:vAlign w:val="center"/>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Ед. изм.</w:t>
            </w:r>
          </w:p>
        </w:tc>
        <w:tc>
          <w:tcPr>
            <w:tcW w:w="871" w:type="dxa"/>
            <w:vAlign w:val="center"/>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Кол-во</w:t>
            </w:r>
          </w:p>
        </w:tc>
        <w:tc>
          <w:tcPr>
            <w:tcW w:w="1495" w:type="dxa"/>
            <w:vAlign w:val="center"/>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ОКПД2/ КТРУ</w:t>
            </w:r>
          </w:p>
        </w:tc>
        <w:tc>
          <w:tcPr>
            <w:tcW w:w="1309" w:type="dxa"/>
            <w:shd w:val="clear" w:color="auto" w:fill="FFFFCC"/>
            <w:vAlign w:val="center"/>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Страна происхождения</w:t>
            </w:r>
          </w:p>
        </w:tc>
        <w:tc>
          <w:tcPr>
            <w:tcW w:w="862" w:type="dxa"/>
            <w:shd w:val="clear" w:color="auto" w:fill="FFFFCC"/>
            <w:vAlign w:val="center"/>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НДС %</w:t>
            </w:r>
          </w:p>
        </w:tc>
        <w:tc>
          <w:tcPr>
            <w:tcW w:w="1147" w:type="dxa"/>
            <w:shd w:val="clear" w:color="auto" w:fill="FFFFCC"/>
            <w:vAlign w:val="center"/>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Цена за ед. с НДС (руб.)</w:t>
            </w:r>
          </w:p>
        </w:tc>
        <w:tc>
          <w:tcPr>
            <w:tcW w:w="1121" w:type="dxa"/>
            <w:shd w:val="clear" w:color="auto" w:fill="FFFFCC"/>
            <w:vAlign w:val="center"/>
          </w:tcPr>
          <w:p w:rsidR="00917FE3" w:rsidRPr="00083DA2" w:rsidRDefault="00917FE3" w:rsidP="00153541">
            <w:pPr>
              <w:spacing w:after="0" w:line="240" w:lineRule="auto"/>
              <w:jc w:val="center"/>
              <w:rPr>
                <w:rFonts w:ascii="Times New Roman" w:eastAsia="Times New Roman" w:hAnsi="Times New Roman" w:cs="Times New Roman"/>
                <w:b/>
                <w:lang w:eastAsia="ru-RU"/>
              </w:rPr>
            </w:pPr>
            <w:r w:rsidRPr="00083DA2">
              <w:rPr>
                <w:rFonts w:ascii="Times New Roman" w:eastAsia="Times New Roman" w:hAnsi="Times New Roman" w:cs="Times New Roman"/>
                <w:b/>
                <w:lang w:eastAsia="ru-RU"/>
              </w:rPr>
              <w:t>Сумма с НДС (руб.)</w:t>
            </w:r>
          </w:p>
        </w:tc>
      </w:tr>
      <w:tr w:rsidR="00083DA2" w:rsidRPr="00083DA2" w:rsidTr="001F0AB5">
        <w:trPr>
          <w:trHeight w:val="20"/>
          <w:jc w:val="center"/>
        </w:trPr>
        <w:tc>
          <w:tcPr>
            <w:tcW w:w="630" w:type="dxa"/>
            <w:tcBorders>
              <w:top w:val="single" w:sz="4" w:space="0" w:color="auto"/>
              <w:left w:val="single" w:sz="4" w:space="0" w:color="auto"/>
              <w:bottom w:val="single" w:sz="4" w:space="0" w:color="auto"/>
              <w:right w:val="single" w:sz="4" w:space="0" w:color="auto"/>
            </w:tcBorders>
          </w:tcPr>
          <w:p w:rsidR="00083DA2" w:rsidRPr="00083DA2" w:rsidRDefault="00083DA2" w:rsidP="00083DA2">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390" w:type="dxa"/>
            <w:tcBorders>
              <w:top w:val="nil"/>
              <w:left w:val="nil"/>
              <w:bottom w:val="single" w:sz="4" w:space="0" w:color="auto"/>
              <w:right w:val="single" w:sz="4" w:space="0" w:color="auto"/>
            </w:tcBorders>
            <w:vAlign w:val="center"/>
          </w:tcPr>
          <w:p w:rsidR="00083DA2" w:rsidRDefault="00083DA2" w:rsidP="007624CC">
            <w:pPr>
              <w:spacing w:after="0" w:line="240" w:lineRule="auto"/>
              <w:jc w:val="center"/>
              <w:rPr>
                <w:rFonts w:ascii="Times New Roman" w:eastAsia="Times New Roman" w:hAnsi="Times New Roman" w:cs="Times New Roman"/>
                <w:lang w:eastAsia="ru-RU"/>
              </w:rPr>
            </w:pPr>
            <w:r w:rsidRPr="00083DA2">
              <w:rPr>
                <w:rFonts w:ascii="Times New Roman" w:eastAsia="Times New Roman" w:hAnsi="Times New Roman" w:cs="Times New Roman"/>
                <w:lang w:eastAsia="ru-RU"/>
              </w:rPr>
              <w:t>Метанол</w:t>
            </w: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Default="007624CC" w:rsidP="007624CC">
            <w:pPr>
              <w:spacing w:after="0" w:line="240" w:lineRule="auto"/>
              <w:jc w:val="center"/>
              <w:rPr>
                <w:rFonts w:ascii="Times New Roman" w:eastAsia="Times New Roman" w:hAnsi="Times New Roman" w:cs="Times New Roman"/>
                <w:lang w:eastAsia="ru-RU"/>
              </w:rPr>
            </w:pPr>
          </w:p>
          <w:p w:rsidR="007624CC" w:rsidRPr="00083DA2" w:rsidRDefault="007624CC" w:rsidP="007624CC">
            <w:pPr>
              <w:spacing w:after="0" w:line="240" w:lineRule="auto"/>
              <w:jc w:val="center"/>
              <w:rPr>
                <w:rFonts w:ascii="Times New Roman" w:eastAsia="Times New Roman" w:hAnsi="Times New Roman" w:cs="Times New Roman"/>
                <w:lang w:eastAsia="ru-RU"/>
              </w:rPr>
            </w:pPr>
          </w:p>
        </w:tc>
        <w:tc>
          <w:tcPr>
            <w:tcW w:w="5415" w:type="dxa"/>
            <w:tcBorders>
              <w:top w:val="single" w:sz="4" w:space="0" w:color="auto"/>
              <w:left w:val="single" w:sz="4" w:space="0" w:color="auto"/>
              <w:bottom w:val="single" w:sz="4" w:space="0" w:color="auto"/>
              <w:right w:val="nil"/>
            </w:tcBorders>
            <w:shd w:val="clear" w:color="CCCCFF" w:fill="FFFFFF"/>
          </w:tcPr>
          <w:p w:rsidR="007624CC" w:rsidRDefault="00083DA2" w:rsidP="00083DA2">
            <w:pPr>
              <w:pStyle w:val="af7"/>
              <w:rPr>
                <w:rFonts w:ascii="Times New Roman" w:hAnsi="Times New Roman"/>
              </w:rPr>
            </w:pPr>
            <w:r w:rsidRPr="00083DA2">
              <w:rPr>
                <w:rFonts w:ascii="Times New Roman" w:hAnsi="Times New Roman"/>
              </w:rPr>
              <w:t xml:space="preserve">Квалификация «ХЧ». Чистота (ГХ): не менее 99,9%. Плотность (при 20°С): 0,791 - 0,793. Нелетучий остаток: не более 2,0 мг/л. Массовая доля воды: не более 0,02%. Цветность (Хазен): не более 10. Кислотность: не более 0,0002 мг-экв/г. Щелочность: не более 0,0002 мг-экв/г. Флюоресценция (по хинину): при 254 нм: не более 1,0 ppb, при 365 нм: не более 0,5 ppb. Пропускание: при 220 нм: не менее 60%, при 235 нм: не менее 83%, при 260 нм: не менее 98%. Степень градиента: при 235 нм не более 2,0 mAU, при 254 нм не более 1,0 mAU. Оптическая плотность (А): при 230 нм не более 0,15, при 250 нм не более 0,05, при 270 нм не более 0,02, при 290 нм не более 0,01. </w:t>
            </w:r>
          </w:p>
          <w:p w:rsidR="00083DA2" w:rsidRPr="00083DA2" w:rsidRDefault="00083DA2" w:rsidP="00083DA2">
            <w:pPr>
              <w:pStyle w:val="af7"/>
              <w:rPr>
                <w:rFonts w:ascii="Times New Roman" w:hAnsi="Times New Roman"/>
              </w:rPr>
            </w:pPr>
            <w:r w:rsidRPr="00083DA2">
              <w:rPr>
                <w:rFonts w:ascii="Times New Roman" w:hAnsi="Times New Roman"/>
              </w:rPr>
              <w:t>Фасовка: не менее 1 л.</w:t>
            </w:r>
          </w:p>
        </w:tc>
        <w:tc>
          <w:tcPr>
            <w:tcW w:w="861" w:type="dxa"/>
            <w:tcBorders>
              <w:top w:val="single" w:sz="4" w:space="0" w:color="auto"/>
              <w:left w:val="single" w:sz="4" w:space="0" w:color="auto"/>
              <w:bottom w:val="single" w:sz="4" w:space="0" w:color="auto"/>
              <w:right w:val="single" w:sz="4" w:space="0" w:color="auto"/>
            </w:tcBorders>
          </w:tcPr>
          <w:p w:rsidR="00083DA2" w:rsidRPr="00083DA2" w:rsidRDefault="00083DA2" w:rsidP="00083DA2">
            <w:pPr>
              <w:spacing w:after="0" w:line="240" w:lineRule="auto"/>
              <w:jc w:val="center"/>
              <w:rPr>
                <w:rFonts w:ascii="Times New Roman" w:eastAsia="Times New Roman" w:hAnsi="Times New Roman" w:cs="Times New Roman"/>
                <w:lang w:eastAsia="ru-RU"/>
              </w:rPr>
            </w:pPr>
            <w:r w:rsidRPr="00083DA2">
              <w:rPr>
                <w:rFonts w:ascii="Times New Roman" w:eastAsia="Times New Roman" w:hAnsi="Times New Roman" w:cs="Times New Roman"/>
                <w:lang w:eastAsia="ru-RU"/>
              </w:rPr>
              <w:t>шт</w:t>
            </w:r>
          </w:p>
        </w:tc>
        <w:tc>
          <w:tcPr>
            <w:tcW w:w="871" w:type="dxa"/>
            <w:tcBorders>
              <w:top w:val="single" w:sz="4" w:space="0" w:color="auto"/>
              <w:left w:val="single" w:sz="4" w:space="0" w:color="auto"/>
              <w:bottom w:val="single" w:sz="4" w:space="0" w:color="auto"/>
              <w:right w:val="single" w:sz="4" w:space="0" w:color="auto"/>
            </w:tcBorders>
          </w:tcPr>
          <w:p w:rsidR="00083DA2" w:rsidRPr="00083DA2" w:rsidRDefault="00083DA2" w:rsidP="00083DA2">
            <w:pPr>
              <w:spacing w:after="0" w:line="240" w:lineRule="auto"/>
              <w:jc w:val="center"/>
              <w:rPr>
                <w:rFonts w:ascii="Times New Roman" w:eastAsia="Times New Roman" w:hAnsi="Times New Roman" w:cs="Times New Roman"/>
                <w:lang w:eastAsia="ru-RU"/>
              </w:rPr>
            </w:pPr>
            <w:r w:rsidRPr="00083DA2">
              <w:rPr>
                <w:rFonts w:ascii="Times New Roman" w:eastAsia="Times New Roman" w:hAnsi="Times New Roman" w:cs="Times New Roman"/>
                <w:lang w:eastAsia="ru-RU"/>
              </w:rPr>
              <w:t>1</w:t>
            </w:r>
          </w:p>
        </w:tc>
        <w:tc>
          <w:tcPr>
            <w:tcW w:w="1495" w:type="dxa"/>
            <w:tcBorders>
              <w:top w:val="single" w:sz="6" w:space="0" w:color="000000"/>
              <w:left w:val="single" w:sz="6" w:space="0" w:color="000000"/>
              <w:bottom w:val="single" w:sz="6" w:space="0" w:color="000000"/>
              <w:right w:val="single" w:sz="6" w:space="0" w:color="000000"/>
            </w:tcBorders>
          </w:tcPr>
          <w:p w:rsidR="00083DA2" w:rsidRPr="00083DA2" w:rsidRDefault="00083DA2" w:rsidP="00083DA2">
            <w:pPr>
              <w:pStyle w:val="af7"/>
              <w:jc w:val="center"/>
              <w:rPr>
                <w:rFonts w:ascii="Times New Roman" w:hAnsi="Times New Roman"/>
              </w:rPr>
            </w:pPr>
            <w:r w:rsidRPr="00083DA2">
              <w:rPr>
                <w:rFonts w:ascii="Times New Roman" w:hAnsi="Times New Roman"/>
              </w:rPr>
              <w:t>20.59.52.199</w:t>
            </w:r>
          </w:p>
        </w:tc>
        <w:tc>
          <w:tcPr>
            <w:tcW w:w="1309"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c>
          <w:tcPr>
            <w:tcW w:w="862"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c>
          <w:tcPr>
            <w:tcW w:w="1147"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c>
          <w:tcPr>
            <w:tcW w:w="1121"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r>
      <w:tr w:rsidR="00083DA2" w:rsidRPr="00083DA2" w:rsidTr="00153541">
        <w:trPr>
          <w:trHeight w:val="20"/>
          <w:jc w:val="center"/>
        </w:trPr>
        <w:tc>
          <w:tcPr>
            <w:tcW w:w="630" w:type="dxa"/>
            <w:tcBorders>
              <w:top w:val="single" w:sz="4" w:space="0" w:color="auto"/>
              <w:left w:val="single" w:sz="4" w:space="0" w:color="auto"/>
              <w:bottom w:val="single" w:sz="4" w:space="0" w:color="auto"/>
              <w:right w:val="single" w:sz="4" w:space="0" w:color="auto"/>
            </w:tcBorders>
          </w:tcPr>
          <w:p w:rsidR="00083DA2" w:rsidRPr="00083DA2" w:rsidRDefault="00083DA2" w:rsidP="00083DA2">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390" w:type="dxa"/>
          </w:tcPr>
          <w:p w:rsidR="00083DA2" w:rsidRPr="00083DA2" w:rsidRDefault="00083DA2" w:rsidP="007624CC">
            <w:pPr>
              <w:pStyle w:val="af7"/>
              <w:jc w:val="center"/>
              <w:rPr>
                <w:rFonts w:ascii="Times New Roman" w:hAnsi="Times New Roman"/>
              </w:rPr>
            </w:pPr>
            <w:r w:rsidRPr="00083DA2">
              <w:rPr>
                <w:rFonts w:ascii="Times New Roman" w:hAnsi="Times New Roman"/>
              </w:rPr>
              <w:t>Хлороформ</w:t>
            </w:r>
          </w:p>
        </w:tc>
        <w:tc>
          <w:tcPr>
            <w:tcW w:w="5415" w:type="dxa"/>
            <w:tcBorders>
              <w:top w:val="single" w:sz="4" w:space="0" w:color="auto"/>
              <w:left w:val="single" w:sz="4" w:space="0" w:color="auto"/>
              <w:bottom w:val="single" w:sz="4" w:space="0" w:color="auto"/>
              <w:right w:val="nil"/>
            </w:tcBorders>
            <w:shd w:val="clear" w:color="CCCCFF" w:fill="FFFFFF"/>
          </w:tcPr>
          <w:p w:rsidR="007624CC" w:rsidRDefault="00083DA2" w:rsidP="00083DA2">
            <w:pPr>
              <w:pStyle w:val="af7"/>
              <w:rPr>
                <w:rFonts w:ascii="Times New Roman" w:hAnsi="Times New Roman"/>
              </w:rPr>
            </w:pPr>
            <w:r w:rsidRPr="00083DA2">
              <w:rPr>
                <w:rFonts w:ascii="Times New Roman" w:hAnsi="Times New Roman"/>
              </w:rPr>
              <w:t xml:space="preserve">Квалификация «ХЧ». Чистота: не менее 99,0%. Плотность: (при 20°C): 1,471 - 1,483 г/см3. Массовая доля хлорорганических примесей: не более 0,02%. Массовая доля этанола: не более 0,6 - 1,0%. Массовая доля воды: не более 0,1%. Массовая доля кисл (в пересчете на НСl): не более 0,001%. Массовая доля нелетучего остатка: не более 0,001%. Массовая доля хлоридов: </w:t>
            </w:r>
            <w:r>
              <w:rPr>
                <w:rFonts w:ascii="Times New Roman" w:hAnsi="Times New Roman"/>
              </w:rPr>
              <w:t xml:space="preserve">не более 0,0002%. Внешний вид: </w:t>
            </w:r>
            <w:r w:rsidRPr="00083DA2">
              <w:rPr>
                <w:rFonts w:ascii="Times New Roman" w:hAnsi="Times New Roman"/>
              </w:rPr>
              <w:t xml:space="preserve">бесцветная прозрачная жидкость. </w:t>
            </w:r>
          </w:p>
          <w:p w:rsidR="00083DA2" w:rsidRPr="00083DA2" w:rsidRDefault="00083DA2" w:rsidP="00083DA2">
            <w:pPr>
              <w:pStyle w:val="af7"/>
              <w:rPr>
                <w:rFonts w:ascii="Times New Roman" w:hAnsi="Times New Roman"/>
              </w:rPr>
            </w:pPr>
            <w:r w:rsidRPr="00083DA2">
              <w:rPr>
                <w:rFonts w:ascii="Times New Roman" w:hAnsi="Times New Roman"/>
              </w:rPr>
              <w:t>Фасовка: не менее 1,5 кг.</w:t>
            </w:r>
          </w:p>
        </w:tc>
        <w:tc>
          <w:tcPr>
            <w:tcW w:w="861" w:type="dxa"/>
            <w:tcBorders>
              <w:top w:val="single" w:sz="4" w:space="0" w:color="auto"/>
              <w:left w:val="single" w:sz="4" w:space="0" w:color="auto"/>
              <w:bottom w:val="single" w:sz="4" w:space="0" w:color="auto"/>
              <w:right w:val="single" w:sz="4" w:space="0" w:color="auto"/>
            </w:tcBorders>
          </w:tcPr>
          <w:p w:rsidR="00083DA2" w:rsidRPr="00083DA2" w:rsidRDefault="00083DA2" w:rsidP="00083DA2">
            <w:pPr>
              <w:spacing w:after="0" w:line="240" w:lineRule="auto"/>
              <w:jc w:val="center"/>
              <w:rPr>
                <w:rFonts w:ascii="Times New Roman" w:eastAsia="Times New Roman" w:hAnsi="Times New Roman" w:cs="Times New Roman"/>
                <w:lang w:eastAsia="ru-RU"/>
              </w:rPr>
            </w:pPr>
            <w:r w:rsidRPr="00083DA2">
              <w:rPr>
                <w:rFonts w:ascii="Times New Roman" w:eastAsia="Times New Roman" w:hAnsi="Times New Roman" w:cs="Times New Roman"/>
                <w:lang w:eastAsia="ru-RU"/>
              </w:rPr>
              <w:t>шт</w:t>
            </w:r>
          </w:p>
        </w:tc>
        <w:tc>
          <w:tcPr>
            <w:tcW w:w="871" w:type="dxa"/>
            <w:tcBorders>
              <w:top w:val="single" w:sz="4" w:space="0" w:color="auto"/>
              <w:left w:val="single" w:sz="4" w:space="0" w:color="auto"/>
              <w:bottom w:val="single" w:sz="4" w:space="0" w:color="auto"/>
              <w:right w:val="single" w:sz="4" w:space="0" w:color="auto"/>
            </w:tcBorders>
          </w:tcPr>
          <w:p w:rsidR="00083DA2" w:rsidRPr="00083DA2" w:rsidRDefault="00083DA2" w:rsidP="00083DA2">
            <w:pPr>
              <w:spacing w:after="0" w:line="240" w:lineRule="auto"/>
              <w:jc w:val="center"/>
              <w:rPr>
                <w:rFonts w:ascii="Times New Roman" w:eastAsia="Times New Roman" w:hAnsi="Times New Roman" w:cs="Times New Roman"/>
                <w:lang w:eastAsia="ru-RU"/>
              </w:rPr>
            </w:pPr>
            <w:r w:rsidRPr="00083DA2">
              <w:rPr>
                <w:rFonts w:ascii="Times New Roman" w:eastAsia="Times New Roman" w:hAnsi="Times New Roman" w:cs="Times New Roman"/>
                <w:lang w:eastAsia="ru-RU"/>
              </w:rPr>
              <w:t>16</w:t>
            </w:r>
          </w:p>
        </w:tc>
        <w:tc>
          <w:tcPr>
            <w:tcW w:w="1495" w:type="dxa"/>
            <w:tcBorders>
              <w:top w:val="single" w:sz="6" w:space="0" w:color="000000"/>
              <w:left w:val="single" w:sz="6" w:space="0" w:color="000000"/>
              <w:bottom w:val="single" w:sz="6" w:space="0" w:color="000000"/>
              <w:right w:val="single" w:sz="6" w:space="0" w:color="000000"/>
            </w:tcBorders>
          </w:tcPr>
          <w:p w:rsidR="00083DA2" w:rsidRPr="00083DA2" w:rsidRDefault="00083DA2" w:rsidP="00083DA2">
            <w:pPr>
              <w:pStyle w:val="af7"/>
              <w:jc w:val="center"/>
              <w:rPr>
                <w:rFonts w:ascii="Times New Roman" w:hAnsi="Times New Roman"/>
              </w:rPr>
            </w:pPr>
            <w:r w:rsidRPr="00083DA2">
              <w:rPr>
                <w:rFonts w:ascii="Times New Roman" w:hAnsi="Times New Roman"/>
              </w:rPr>
              <w:t>20.59.52.199</w:t>
            </w:r>
          </w:p>
        </w:tc>
        <w:tc>
          <w:tcPr>
            <w:tcW w:w="1309"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c>
          <w:tcPr>
            <w:tcW w:w="862"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c>
          <w:tcPr>
            <w:tcW w:w="1147"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c>
          <w:tcPr>
            <w:tcW w:w="1121"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r>
      <w:tr w:rsidR="00083DA2" w:rsidRPr="00083DA2" w:rsidTr="00153541">
        <w:trPr>
          <w:trHeight w:val="20"/>
          <w:jc w:val="center"/>
        </w:trPr>
        <w:tc>
          <w:tcPr>
            <w:tcW w:w="630" w:type="dxa"/>
            <w:tcBorders>
              <w:top w:val="single" w:sz="4" w:space="0" w:color="auto"/>
              <w:left w:val="single" w:sz="4" w:space="0" w:color="auto"/>
              <w:bottom w:val="single" w:sz="4" w:space="0" w:color="auto"/>
              <w:right w:val="single" w:sz="4" w:space="0" w:color="auto"/>
            </w:tcBorders>
          </w:tcPr>
          <w:p w:rsidR="00083DA2" w:rsidRPr="00083DA2" w:rsidRDefault="00083DA2" w:rsidP="00083DA2">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390" w:type="dxa"/>
          </w:tcPr>
          <w:p w:rsidR="00083DA2" w:rsidRPr="00083DA2" w:rsidRDefault="00083DA2" w:rsidP="00083DA2">
            <w:pPr>
              <w:pStyle w:val="af7"/>
              <w:jc w:val="right"/>
              <w:rPr>
                <w:rFonts w:ascii="Times New Roman" w:hAnsi="Times New Roman"/>
              </w:rPr>
            </w:pPr>
            <w:r w:rsidRPr="00083DA2">
              <w:rPr>
                <w:rFonts w:ascii="Times New Roman" w:hAnsi="Times New Roman"/>
              </w:rPr>
              <w:t>Изопропиловый спирт</w:t>
            </w:r>
          </w:p>
        </w:tc>
        <w:tc>
          <w:tcPr>
            <w:tcW w:w="5415" w:type="dxa"/>
            <w:tcBorders>
              <w:top w:val="nil"/>
              <w:left w:val="single" w:sz="4" w:space="0" w:color="auto"/>
              <w:bottom w:val="single" w:sz="4" w:space="0" w:color="auto"/>
              <w:right w:val="single" w:sz="4" w:space="0" w:color="auto"/>
            </w:tcBorders>
            <w:shd w:val="clear" w:color="CCCCFF" w:fill="FFFFFF"/>
          </w:tcPr>
          <w:p w:rsidR="007624CC" w:rsidRDefault="00083DA2" w:rsidP="00083DA2">
            <w:pPr>
              <w:pStyle w:val="af7"/>
              <w:rPr>
                <w:rFonts w:ascii="Times New Roman" w:hAnsi="Times New Roman"/>
              </w:rPr>
            </w:pPr>
            <w:r w:rsidRPr="00083DA2">
              <w:rPr>
                <w:rFonts w:ascii="Times New Roman" w:hAnsi="Times New Roman"/>
              </w:rPr>
              <w:t xml:space="preserve">Квалификация «ХЧ». Массовая доля пропанола-2 не менее 99,8%. Показатель преломления: Nd20: 1,3770 - 1,3775. Массовая доля нелетучего остатка не более 0,0005%. Массовая доля воды не более 0,1%. Кислотность (в пересчете на CH3COOH) не более 0,0007%. Массовая доля веществ, восстанавливающих KMnO4 (в пересчете на кислород) не более 0,001%. Плотность: (при 20°C): 0,7847 - 0,7852 г/см3. Внешний вид: бесцветная прозрачная жидкость. </w:t>
            </w:r>
          </w:p>
          <w:p w:rsidR="00083DA2" w:rsidRPr="00083DA2" w:rsidRDefault="00083DA2" w:rsidP="00083DA2">
            <w:pPr>
              <w:pStyle w:val="af7"/>
              <w:rPr>
                <w:rFonts w:ascii="Times New Roman" w:hAnsi="Times New Roman"/>
              </w:rPr>
            </w:pPr>
            <w:r w:rsidRPr="00083DA2">
              <w:rPr>
                <w:rFonts w:ascii="Times New Roman" w:hAnsi="Times New Roman"/>
              </w:rPr>
              <w:t>Фасовка: не менее 0,8 кг.</w:t>
            </w:r>
          </w:p>
        </w:tc>
        <w:tc>
          <w:tcPr>
            <w:tcW w:w="861" w:type="dxa"/>
            <w:tcBorders>
              <w:top w:val="single" w:sz="4" w:space="0" w:color="auto"/>
              <w:left w:val="single" w:sz="4" w:space="0" w:color="auto"/>
              <w:bottom w:val="single" w:sz="4" w:space="0" w:color="auto"/>
              <w:right w:val="single" w:sz="4" w:space="0" w:color="auto"/>
            </w:tcBorders>
          </w:tcPr>
          <w:p w:rsidR="00083DA2" w:rsidRPr="00083DA2" w:rsidRDefault="00083DA2" w:rsidP="00083DA2">
            <w:pPr>
              <w:spacing w:after="0" w:line="240" w:lineRule="auto"/>
              <w:jc w:val="center"/>
              <w:rPr>
                <w:rFonts w:ascii="Times New Roman" w:eastAsia="Times New Roman" w:hAnsi="Times New Roman" w:cs="Times New Roman"/>
                <w:lang w:eastAsia="ru-RU"/>
              </w:rPr>
            </w:pPr>
            <w:r w:rsidRPr="00083DA2">
              <w:rPr>
                <w:rFonts w:ascii="Times New Roman" w:eastAsia="Times New Roman" w:hAnsi="Times New Roman" w:cs="Times New Roman"/>
                <w:lang w:eastAsia="ru-RU"/>
              </w:rPr>
              <w:t>шт</w:t>
            </w:r>
          </w:p>
        </w:tc>
        <w:tc>
          <w:tcPr>
            <w:tcW w:w="871" w:type="dxa"/>
            <w:tcBorders>
              <w:top w:val="single" w:sz="4" w:space="0" w:color="auto"/>
              <w:left w:val="single" w:sz="4" w:space="0" w:color="auto"/>
              <w:bottom w:val="single" w:sz="4" w:space="0" w:color="auto"/>
              <w:right w:val="single" w:sz="4" w:space="0" w:color="auto"/>
            </w:tcBorders>
          </w:tcPr>
          <w:p w:rsidR="00083DA2" w:rsidRPr="00083DA2" w:rsidRDefault="00083DA2" w:rsidP="00083DA2">
            <w:pPr>
              <w:spacing w:after="0" w:line="240" w:lineRule="auto"/>
              <w:jc w:val="center"/>
              <w:rPr>
                <w:rFonts w:ascii="Times New Roman" w:eastAsia="Times New Roman" w:hAnsi="Times New Roman" w:cs="Times New Roman"/>
                <w:lang w:eastAsia="ru-RU"/>
              </w:rPr>
            </w:pPr>
            <w:r w:rsidRPr="00083DA2">
              <w:rPr>
                <w:rFonts w:ascii="Times New Roman" w:eastAsia="Times New Roman" w:hAnsi="Times New Roman" w:cs="Times New Roman"/>
                <w:lang w:eastAsia="ru-RU"/>
              </w:rPr>
              <w:t>15</w:t>
            </w:r>
          </w:p>
        </w:tc>
        <w:tc>
          <w:tcPr>
            <w:tcW w:w="1495" w:type="dxa"/>
            <w:tcBorders>
              <w:top w:val="single" w:sz="6" w:space="0" w:color="000000"/>
              <w:left w:val="single" w:sz="6" w:space="0" w:color="000000"/>
              <w:bottom w:val="single" w:sz="6" w:space="0" w:color="000000"/>
              <w:right w:val="single" w:sz="6" w:space="0" w:color="000000"/>
            </w:tcBorders>
          </w:tcPr>
          <w:p w:rsidR="00083DA2" w:rsidRPr="00083DA2" w:rsidRDefault="00083DA2" w:rsidP="00083DA2">
            <w:pPr>
              <w:pStyle w:val="af7"/>
              <w:jc w:val="center"/>
              <w:rPr>
                <w:rFonts w:ascii="Times New Roman" w:hAnsi="Times New Roman"/>
              </w:rPr>
            </w:pPr>
            <w:r w:rsidRPr="00083DA2">
              <w:rPr>
                <w:rFonts w:ascii="Times New Roman" w:hAnsi="Times New Roman"/>
              </w:rPr>
              <w:t>20.59.52.199</w:t>
            </w:r>
          </w:p>
        </w:tc>
        <w:tc>
          <w:tcPr>
            <w:tcW w:w="1309"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c>
          <w:tcPr>
            <w:tcW w:w="862"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c>
          <w:tcPr>
            <w:tcW w:w="1147"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c>
          <w:tcPr>
            <w:tcW w:w="1121" w:type="dxa"/>
            <w:tcBorders>
              <w:top w:val="single" w:sz="4" w:space="0" w:color="auto"/>
              <w:left w:val="single" w:sz="4" w:space="0" w:color="auto"/>
              <w:bottom w:val="single" w:sz="4" w:space="0" w:color="auto"/>
              <w:right w:val="single" w:sz="4" w:space="0" w:color="auto"/>
            </w:tcBorders>
            <w:shd w:val="clear" w:color="auto" w:fill="FFFFCC"/>
          </w:tcPr>
          <w:p w:rsidR="00083DA2" w:rsidRPr="00083DA2" w:rsidRDefault="00083DA2" w:rsidP="00083DA2">
            <w:pPr>
              <w:spacing w:after="0" w:line="240" w:lineRule="auto"/>
              <w:jc w:val="center"/>
              <w:rPr>
                <w:rFonts w:ascii="Times New Roman" w:eastAsia="Times New Roman" w:hAnsi="Times New Roman" w:cs="Times New Roman"/>
                <w:lang w:eastAsia="ru-RU"/>
              </w:rPr>
            </w:pPr>
          </w:p>
        </w:tc>
      </w:tr>
    </w:tbl>
    <w:p w:rsidR="00170252" w:rsidRDefault="00170252" w:rsidP="000820E3">
      <w:pPr>
        <w:rPr>
          <w:rFonts w:ascii="Times New Roman" w:hAnsi="Times New Roman" w:cs="Times New Roman"/>
          <w:b/>
          <w:sz w:val="28"/>
          <w:szCs w:val="28"/>
        </w:rPr>
      </w:pPr>
    </w:p>
    <w:sectPr w:rsidR="00170252" w:rsidSect="00917FE3">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3B0" w:rsidRDefault="004773B0">
      <w:pPr>
        <w:spacing w:after="0" w:line="240" w:lineRule="auto"/>
      </w:pPr>
      <w:r>
        <w:separator/>
      </w:r>
    </w:p>
  </w:endnote>
  <w:endnote w:type="continuationSeparator" w:id="0">
    <w:p w:rsidR="004773B0" w:rsidRDefault="00477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E2CA0" w:rsidRDefault="00BE2CA0">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BE2CA0">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BE2CA0">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BE2CA0">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BE2CA0">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BE2CA0">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624CC">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3B0" w:rsidRDefault="004773B0">
      <w:pPr>
        <w:spacing w:after="0" w:line="240" w:lineRule="auto"/>
      </w:pPr>
      <w:r>
        <w:separator/>
      </w:r>
    </w:p>
  </w:footnote>
  <w:footnote w:type="continuationSeparator" w:id="0">
    <w:p w:rsidR="004773B0" w:rsidRDefault="004773B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E2CA0" w:rsidRDefault="00BE2CA0">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E2CA0" w:rsidRDefault="00BE2CA0">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E2CA0" w:rsidRDefault="00BE2CA0">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764B7A"/>
    <w:multiLevelType w:val="hybridMultilevel"/>
    <w:tmpl w:val="A46C6766"/>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4"/>
  </w:num>
  <w:num w:numId="6">
    <w:abstractNumId w:val="10"/>
  </w:num>
  <w:num w:numId="7">
    <w:abstractNumId w:val="2"/>
  </w:num>
  <w:num w:numId="8">
    <w:abstractNumId w:val="17"/>
  </w:num>
  <w:num w:numId="9">
    <w:abstractNumId w:val="1"/>
  </w:num>
  <w:num w:numId="10">
    <w:abstractNumId w:val="16"/>
  </w:num>
  <w:num w:numId="11">
    <w:abstractNumId w:val="19"/>
  </w:num>
  <w:num w:numId="12">
    <w:abstractNumId w:val="9"/>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3DA2"/>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773B0"/>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24CC"/>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17FE3"/>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2CA0"/>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FD792-CA0A-42C4-A6F0-8DE7CAB82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6146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2026-07-01T11:42:00Z</dcterms:created>
  <dcterms:modified xsi:type="dcterms:W3CDTF">2026-07-01T11:42:00Z</dcterms:modified>
</cp:coreProperties>
</file>