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06.08.2026 № 21.1-03/1677</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13.08.2026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8D26BE">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D47CAB">
            <w:pPr>
              <w:ind w:right="-1"/>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изделий медицинского назначения</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D47CA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D47CA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D47CA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заключения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D47CA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D47CA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письменной заявки от Покупателя. Последняя дата подачи заявки на поставку 12.11.2026. Максимальное количество партий - 4 (четыре).</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D47CA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регистрационные удостоверения</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D47CA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D47CA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товара на момент поставки должен быть не менее 12 (двенадцати) месяцев, а если общий срок годности товара составляет 1 год и менее, то остаточный срок годности на момент поставки товара должен составлять не менее  60% от установленного производителем срока годности.</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D47CA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D47CA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D47CA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преимущества инвалидам</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D47CAB">
            <w:pPr>
              <w:ind w:right="-1"/>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D47CA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D47CAB">
            <w:pPr>
              <w:ind w:right="-1"/>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p w:rsidR="00170252" w:rsidRDefault="00170252" w:rsidP="000820E3">
      <w:pPr>
        <w:rPr>
          <w:rFonts w:ascii="Times New Roman" w:hAnsi="Times New Roman" w:cs="Times New Roman"/>
          <w:b/>
          <w:sz w:val="28"/>
          <w:szCs w:val="28"/>
        </w:rPr>
      </w:pPr>
    </w:p>
    <w:tbl>
      <w:tblPr>
        <w:tblW w:w="16018" w:type="dxa"/>
        <w:tblInd w:w="108" w:type="dxa"/>
        <w:tblLayout w:type="fixed"/>
        <w:tblLook w:val="04A0" w:firstRow="1" w:lastRow="0" w:firstColumn="1" w:lastColumn="0" w:noHBand="0" w:noVBand="1"/>
      </w:tblPr>
      <w:tblGrid>
        <w:gridCol w:w="567"/>
        <w:gridCol w:w="1560"/>
        <w:gridCol w:w="1134"/>
        <w:gridCol w:w="992"/>
        <w:gridCol w:w="709"/>
        <w:gridCol w:w="1842"/>
        <w:gridCol w:w="1134"/>
        <w:gridCol w:w="993"/>
        <w:gridCol w:w="1842"/>
        <w:gridCol w:w="1985"/>
        <w:gridCol w:w="850"/>
        <w:gridCol w:w="851"/>
        <w:gridCol w:w="709"/>
        <w:gridCol w:w="850"/>
      </w:tblGrid>
      <w:tr w:rsidR="00D47CAB" w:rsidRPr="00C81431" w:rsidTr="00CC4613">
        <w:trPr>
          <w:trHeight w:val="402"/>
        </w:trPr>
        <w:tc>
          <w:tcPr>
            <w:tcW w:w="567" w:type="dxa"/>
            <w:tcBorders>
              <w:top w:val="single" w:sz="4" w:space="0" w:color="auto"/>
              <w:left w:val="single" w:sz="4" w:space="0" w:color="auto"/>
              <w:bottom w:val="single" w:sz="4" w:space="0" w:color="auto"/>
              <w:right w:val="single" w:sz="4" w:space="0" w:color="auto"/>
            </w:tcBorders>
          </w:tcPr>
          <w:p w:rsidR="00D47CAB" w:rsidRDefault="00D47CAB" w:rsidP="00CC4613">
            <w:pPr>
              <w:spacing w:after="0" w:line="240" w:lineRule="auto"/>
              <w:jc w:val="center"/>
              <w:rPr>
                <w:rFonts w:ascii="Times New Roman" w:eastAsia="Times New Roman" w:hAnsi="Times New Roman" w:cs="Times New Roman"/>
                <w:b/>
                <w:bCs/>
                <w:color w:val="000000"/>
                <w:sz w:val="16"/>
                <w:szCs w:val="16"/>
                <w:lang w:eastAsia="ru-RU"/>
              </w:rPr>
            </w:pPr>
          </w:p>
          <w:p w:rsidR="00D47CAB" w:rsidRDefault="00D47CAB" w:rsidP="00CC4613">
            <w:pPr>
              <w:spacing w:after="0" w:line="240" w:lineRule="auto"/>
              <w:jc w:val="center"/>
              <w:rPr>
                <w:rFonts w:ascii="Times New Roman" w:eastAsia="Times New Roman" w:hAnsi="Times New Roman" w:cs="Times New Roman"/>
                <w:b/>
                <w:bCs/>
                <w:color w:val="000000"/>
                <w:sz w:val="16"/>
                <w:szCs w:val="16"/>
                <w:lang w:eastAsia="ru-RU"/>
              </w:rPr>
            </w:pPr>
          </w:p>
          <w:p w:rsidR="00D47CAB" w:rsidRDefault="00D47CAB" w:rsidP="00CC4613">
            <w:pPr>
              <w:spacing w:after="0" w:line="240" w:lineRule="auto"/>
              <w:jc w:val="center"/>
              <w:rPr>
                <w:rFonts w:ascii="Times New Roman" w:eastAsia="Times New Roman" w:hAnsi="Times New Roman" w:cs="Times New Roman"/>
                <w:b/>
                <w:bCs/>
                <w:color w:val="000000"/>
                <w:sz w:val="16"/>
                <w:szCs w:val="16"/>
                <w:lang w:eastAsia="ru-RU"/>
              </w:rPr>
            </w:pPr>
          </w:p>
          <w:p w:rsidR="00D47CAB" w:rsidRDefault="00D47CAB" w:rsidP="00CC4613">
            <w:pPr>
              <w:spacing w:after="0" w:line="240" w:lineRule="auto"/>
              <w:jc w:val="center"/>
              <w:rPr>
                <w:rFonts w:ascii="Times New Roman" w:eastAsia="Times New Roman" w:hAnsi="Times New Roman" w:cs="Times New Roman"/>
                <w:b/>
                <w:bCs/>
                <w:color w:val="000000"/>
                <w:sz w:val="16"/>
                <w:szCs w:val="16"/>
                <w:lang w:eastAsia="ru-RU"/>
              </w:rPr>
            </w:pPr>
          </w:p>
          <w:p w:rsidR="00D47CAB" w:rsidRDefault="00D47CAB" w:rsidP="00CC4613">
            <w:pPr>
              <w:spacing w:after="0" w:line="240" w:lineRule="auto"/>
              <w:jc w:val="center"/>
              <w:rPr>
                <w:rFonts w:ascii="Times New Roman" w:eastAsia="Times New Roman" w:hAnsi="Times New Roman" w:cs="Times New Roman"/>
                <w:b/>
                <w:bCs/>
                <w:color w:val="000000"/>
                <w:sz w:val="16"/>
                <w:szCs w:val="16"/>
                <w:lang w:eastAsia="ru-RU"/>
              </w:rPr>
            </w:pPr>
          </w:p>
          <w:p w:rsidR="00D47CAB" w:rsidRPr="00C81431" w:rsidRDefault="00D47CAB" w:rsidP="00CC4613">
            <w:pPr>
              <w:spacing w:after="0" w:line="240" w:lineRule="auto"/>
              <w:jc w:val="center"/>
              <w:rPr>
                <w:rFonts w:ascii="Times New Roman" w:eastAsia="Times New Roman" w:hAnsi="Times New Roman" w:cs="Times New Roman"/>
                <w:b/>
                <w:bCs/>
                <w:color w:val="000000"/>
                <w:sz w:val="16"/>
                <w:szCs w:val="16"/>
                <w:lang w:eastAsia="ru-RU"/>
              </w:rPr>
            </w:pPr>
            <w:r>
              <w:rPr>
                <w:rFonts w:ascii="Times New Roman" w:eastAsia="Times New Roman" w:hAnsi="Times New Roman" w:cs="Times New Roman"/>
                <w:b/>
                <w:bCs/>
                <w:color w:val="000000"/>
                <w:sz w:val="16"/>
                <w:szCs w:val="16"/>
                <w:lang w:eastAsia="ru-RU"/>
              </w:rPr>
              <w:t>№ п/п</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7CAB" w:rsidRPr="00C81431" w:rsidRDefault="00D47CAB" w:rsidP="00CC4613">
            <w:pPr>
              <w:spacing w:after="0" w:line="240" w:lineRule="auto"/>
              <w:jc w:val="center"/>
              <w:rPr>
                <w:rFonts w:ascii="Times New Roman" w:eastAsia="Times New Roman" w:hAnsi="Times New Roman" w:cs="Times New Roman"/>
                <w:b/>
                <w:bCs/>
                <w:color w:val="000000"/>
                <w:sz w:val="16"/>
                <w:szCs w:val="16"/>
                <w:lang w:eastAsia="ru-RU"/>
              </w:rPr>
            </w:pPr>
            <w:r w:rsidRPr="00C81431">
              <w:rPr>
                <w:rFonts w:ascii="Times New Roman" w:eastAsia="Times New Roman" w:hAnsi="Times New Roman" w:cs="Times New Roman"/>
                <w:b/>
                <w:bCs/>
                <w:color w:val="000000"/>
                <w:sz w:val="16"/>
                <w:szCs w:val="16"/>
                <w:lang w:eastAsia="ru-RU"/>
              </w:rPr>
              <w:t>Наименование КТРУ</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47CAB" w:rsidRDefault="00D47CAB" w:rsidP="00CC4613">
            <w:pPr>
              <w:spacing w:after="0" w:line="240" w:lineRule="auto"/>
              <w:jc w:val="center"/>
              <w:rPr>
                <w:rFonts w:ascii="Times New Roman" w:eastAsia="Times New Roman" w:hAnsi="Times New Roman" w:cs="Times New Roman"/>
                <w:b/>
                <w:bCs/>
                <w:color w:val="000000"/>
                <w:sz w:val="16"/>
                <w:szCs w:val="16"/>
                <w:lang w:eastAsia="ru-RU"/>
              </w:rPr>
            </w:pPr>
            <w:r w:rsidRPr="00C40833">
              <w:rPr>
                <w:rFonts w:ascii="Times New Roman" w:eastAsia="Times New Roman" w:hAnsi="Times New Roman" w:cs="Times New Roman"/>
                <w:b/>
                <w:bCs/>
                <w:color w:val="000000"/>
                <w:sz w:val="16"/>
                <w:szCs w:val="16"/>
                <w:lang w:eastAsia="ru-RU"/>
              </w:rPr>
              <w:t>ОКПД/</w:t>
            </w:r>
          </w:p>
          <w:p w:rsidR="00D47CAB" w:rsidRPr="00C40833" w:rsidRDefault="00D47CAB" w:rsidP="00CC4613">
            <w:pPr>
              <w:spacing w:after="0" w:line="240" w:lineRule="auto"/>
              <w:jc w:val="center"/>
              <w:rPr>
                <w:rFonts w:ascii="Times New Roman" w:eastAsia="Times New Roman" w:hAnsi="Times New Roman" w:cs="Times New Roman"/>
                <w:b/>
                <w:bCs/>
                <w:color w:val="000000"/>
                <w:sz w:val="16"/>
                <w:szCs w:val="16"/>
                <w:lang w:eastAsia="ru-RU"/>
              </w:rPr>
            </w:pPr>
            <w:r w:rsidRPr="00C40833">
              <w:rPr>
                <w:rFonts w:ascii="Times New Roman" w:eastAsia="Times New Roman" w:hAnsi="Times New Roman" w:cs="Times New Roman"/>
                <w:b/>
                <w:bCs/>
                <w:color w:val="000000"/>
                <w:sz w:val="16"/>
                <w:szCs w:val="16"/>
                <w:lang w:eastAsia="ru-RU"/>
              </w:rPr>
              <w:t>КТРУ</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D47CAB" w:rsidRPr="00C40833" w:rsidRDefault="00D47CAB" w:rsidP="00CC4613">
            <w:pPr>
              <w:spacing w:after="0" w:line="240" w:lineRule="auto"/>
              <w:jc w:val="center"/>
              <w:rPr>
                <w:rFonts w:ascii="Times New Roman" w:eastAsia="Times New Roman" w:hAnsi="Times New Roman" w:cs="Times New Roman"/>
                <w:b/>
                <w:bCs/>
                <w:color w:val="000000"/>
                <w:sz w:val="16"/>
                <w:szCs w:val="16"/>
                <w:lang w:eastAsia="ru-RU"/>
              </w:rPr>
            </w:pPr>
            <w:r w:rsidRPr="00C40833">
              <w:rPr>
                <w:rFonts w:ascii="Times New Roman" w:eastAsia="Times New Roman" w:hAnsi="Times New Roman" w:cs="Times New Roman"/>
                <w:b/>
                <w:bCs/>
                <w:color w:val="000000"/>
                <w:sz w:val="16"/>
                <w:szCs w:val="16"/>
                <w:lang w:eastAsia="ru-RU"/>
              </w:rPr>
              <w:t>Единица измерения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47CAB" w:rsidRPr="00C40833" w:rsidRDefault="00D47CAB" w:rsidP="00CC4613">
            <w:pPr>
              <w:spacing w:after="0" w:line="240" w:lineRule="auto"/>
              <w:jc w:val="center"/>
              <w:rPr>
                <w:rFonts w:ascii="Times New Roman" w:eastAsia="Times New Roman" w:hAnsi="Times New Roman" w:cs="Times New Roman"/>
                <w:b/>
                <w:bCs/>
                <w:color w:val="000000"/>
                <w:sz w:val="16"/>
                <w:szCs w:val="16"/>
                <w:lang w:eastAsia="ru-RU"/>
              </w:rPr>
            </w:pPr>
            <w:r w:rsidRPr="00C40833">
              <w:rPr>
                <w:rFonts w:ascii="Times New Roman" w:eastAsia="Times New Roman" w:hAnsi="Times New Roman" w:cs="Times New Roman"/>
                <w:b/>
                <w:bCs/>
                <w:color w:val="000000"/>
                <w:sz w:val="16"/>
                <w:szCs w:val="16"/>
                <w:lang w:eastAsia="ru-RU"/>
              </w:rPr>
              <w:t>Кол-во</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D47CAB" w:rsidRPr="00C40833" w:rsidRDefault="00D47CAB" w:rsidP="00CC4613">
            <w:pPr>
              <w:spacing w:after="0" w:line="240" w:lineRule="auto"/>
              <w:jc w:val="center"/>
              <w:rPr>
                <w:rFonts w:ascii="Times New Roman" w:eastAsia="Times New Roman" w:hAnsi="Times New Roman" w:cs="Times New Roman"/>
                <w:b/>
                <w:bCs/>
                <w:color w:val="000000"/>
                <w:sz w:val="16"/>
                <w:szCs w:val="16"/>
                <w:lang w:eastAsia="ru-RU"/>
              </w:rPr>
            </w:pPr>
            <w:r w:rsidRPr="00C40833">
              <w:rPr>
                <w:rFonts w:ascii="Times New Roman" w:eastAsia="Times New Roman" w:hAnsi="Times New Roman" w:cs="Times New Roman"/>
                <w:b/>
                <w:bCs/>
                <w:color w:val="000000"/>
                <w:sz w:val="16"/>
                <w:szCs w:val="16"/>
                <w:lang w:eastAsia="ru-RU"/>
              </w:rPr>
              <w:t>Наименование показателя</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D47CAB" w:rsidRPr="00C40833" w:rsidRDefault="00D47CAB" w:rsidP="00CC4613">
            <w:pPr>
              <w:spacing w:after="0" w:line="240" w:lineRule="auto"/>
              <w:jc w:val="center"/>
              <w:rPr>
                <w:rFonts w:ascii="Times New Roman" w:eastAsia="Times New Roman" w:hAnsi="Times New Roman" w:cs="Times New Roman"/>
                <w:b/>
                <w:bCs/>
                <w:color w:val="000000"/>
                <w:sz w:val="16"/>
                <w:szCs w:val="16"/>
                <w:lang w:eastAsia="ru-RU"/>
              </w:rPr>
            </w:pPr>
            <w:r w:rsidRPr="00C40833">
              <w:rPr>
                <w:rFonts w:ascii="Times New Roman" w:eastAsia="Times New Roman" w:hAnsi="Times New Roman" w:cs="Times New Roman"/>
                <w:b/>
                <w:bCs/>
                <w:color w:val="000000"/>
                <w:sz w:val="16"/>
                <w:szCs w:val="16"/>
                <w:lang w:eastAsia="ru-RU"/>
              </w:rPr>
              <w:t>Значение характеристики</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D47CAB" w:rsidRPr="00C40833" w:rsidRDefault="00D47CAB" w:rsidP="00CC4613">
            <w:pPr>
              <w:spacing w:after="0" w:line="240" w:lineRule="auto"/>
              <w:jc w:val="center"/>
              <w:rPr>
                <w:rFonts w:ascii="Times New Roman" w:eastAsia="Times New Roman" w:hAnsi="Times New Roman" w:cs="Times New Roman"/>
                <w:b/>
                <w:bCs/>
                <w:color w:val="000000"/>
                <w:sz w:val="16"/>
                <w:szCs w:val="16"/>
                <w:lang w:eastAsia="ru-RU"/>
              </w:rPr>
            </w:pPr>
            <w:r w:rsidRPr="00C40833">
              <w:rPr>
                <w:rFonts w:ascii="Times New Roman" w:eastAsia="Times New Roman" w:hAnsi="Times New Roman" w:cs="Times New Roman"/>
                <w:b/>
                <w:bCs/>
                <w:color w:val="000000"/>
                <w:sz w:val="16"/>
                <w:szCs w:val="16"/>
                <w:lang w:eastAsia="ru-RU"/>
              </w:rPr>
              <w:t>Единица измерения характеристики</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D47CAB" w:rsidRPr="00C40833" w:rsidRDefault="00D47CAB" w:rsidP="00CC4613">
            <w:pPr>
              <w:spacing w:after="0" w:line="240" w:lineRule="auto"/>
              <w:jc w:val="center"/>
              <w:rPr>
                <w:rFonts w:ascii="Times New Roman" w:eastAsia="Times New Roman" w:hAnsi="Times New Roman" w:cs="Times New Roman"/>
                <w:b/>
                <w:bCs/>
                <w:color w:val="000000"/>
                <w:sz w:val="16"/>
                <w:szCs w:val="16"/>
                <w:lang w:eastAsia="ru-RU"/>
              </w:rPr>
            </w:pPr>
            <w:r w:rsidRPr="00C40833">
              <w:rPr>
                <w:rFonts w:ascii="Times New Roman" w:eastAsia="Times New Roman" w:hAnsi="Times New Roman" w:cs="Times New Roman"/>
                <w:b/>
                <w:bCs/>
                <w:color w:val="000000"/>
                <w:sz w:val="16"/>
                <w:szCs w:val="16"/>
                <w:lang w:eastAsia="ru-RU"/>
              </w:rPr>
              <w:t>Инструкция по заполнению</w:t>
            </w:r>
          </w:p>
        </w:tc>
        <w:tc>
          <w:tcPr>
            <w:tcW w:w="1985" w:type="dxa"/>
            <w:tcBorders>
              <w:top w:val="single" w:sz="4" w:space="0" w:color="auto"/>
              <w:left w:val="nil"/>
              <w:bottom w:val="single" w:sz="4" w:space="0" w:color="auto"/>
              <w:right w:val="single" w:sz="4" w:space="0" w:color="auto"/>
            </w:tcBorders>
          </w:tcPr>
          <w:p w:rsidR="00D47CAB" w:rsidRDefault="00D47CAB" w:rsidP="00CC4613">
            <w:pPr>
              <w:spacing w:after="0" w:line="240" w:lineRule="auto"/>
              <w:jc w:val="center"/>
              <w:rPr>
                <w:rFonts w:ascii="Times New Roman" w:eastAsia="Times New Roman" w:hAnsi="Times New Roman" w:cs="Times New Roman"/>
                <w:b/>
                <w:bCs/>
                <w:color w:val="000000"/>
                <w:sz w:val="16"/>
                <w:szCs w:val="16"/>
                <w:lang w:eastAsia="ru-RU"/>
              </w:rPr>
            </w:pPr>
          </w:p>
          <w:p w:rsidR="00D47CAB" w:rsidRDefault="00D47CAB" w:rsidP="00CC4613">
            <w:pPr>
              <w:spacing w:after="0" w:line="240" w:lineRule="auto"/>
              <w:jc w:val="center"/>
              <w:rPr>
                <w:rFonts w:ascii="Times New Roman" w:eastAsia="Times New Roman" w:hAnsi="Times New Roman" w:cs="Times New Roman"/>
                <w:b/>
                <w:bCs/>
                <w:color w:val="000000"/>
                <w:sz w:val="16"/>
                <w:szCs w:val="16"/>
                <w:lang w:eastAsia="ru-RU"/>
              </w:rPr>
            </w:pPr>
          </w:p>
          <w:p w:rsidR="00D47CAB" w:rsidRDefault="00D47CAB" w:rsidP="00CC4613">
            <w:pPr>
              <w:spacing w:after="0" w:line="240" w:lineRule="auto"/>
              <w:jc w:val="center"/>
              <w:rPr>
                <w:rFonts w:ascii="Times New Roman" w:eastAsia="Times New Roman" w:hAnsi="Times New Roman" w:cs="Times New Roman"/>
                <w:b/>
                <w:bCs/>
                <w:color w:val="000000"/>
                <w:sz w:val="16"/>
                <w:szCs w:val="16"/>
                <w:lang w:eastAsia="ru-RU"/>
              </w:rPr>
            </w:pPr>
          </w:p>
          <w:p w:rsidR="00D47CAB" w:rsidRDefault="00D47CAB" w:rsidP="00CC4613">
            <w:pPr>
              <w:spacing w:after="0" w:line="240" w:lineRule="auto"/>
              <w:jc w:val="center"/>
              <w:rPr>
                <w:rFonts w:ascii="Times New Roman" w:eastAsia="Times New Roman" w:hAnsi="Times New Roman" w:cs="Times New Roman"/>
                <w:b/>
                <w:bCs/>
                <w:color w:val="000000"/>
                <w:sz w:val="16"/>
                <w:szCs w:val="16"/>
                <w:lang w:eastAsia="ru-RU"/>
              </w:rPr>
            </w:pPr>
          </w:p>
          <w:p w:rsidR="00D47CAB" w:rsidRDefault="00D47CAB" w:rsidP="00CC4613">
            <w:pPr>
              <w:spacing w:after="0" w:line="240" w:lineRule="auto"/>
              <w:jc w:val="center"/>
              <w:rPr>
                <w:rFonts w:ascii="Times New Roman" w:eastAsia="Times New Roman" w:hAnsi="Times New Roman" w:cs="Times New Roman"/>
                <w:b/>
                <w:bCs/>
                <w:color w:val="000000"/>
                <w:sz w:val="16"/>
                <w:szCs w:val="16"/>
                <w:lang w:eastAsia="ru-RU"/>
              </w:rPr>
            </w:pPr>
          </w:p>
          <w:p w:rsidR="00D47CAB" w:rsidRPr="00C40833" w:rsidRDefault="00D47CAB" w:rsidP="00CC4613">
            <w:pPr>
              <w:spacing w:after="0" w:line="240" w:lineRule="auto"/>
              <w:jc w:val="center"/>
              <w:rPr>
                <w:rFonts w:ascii="Times New Roman" w:eastAsia="Times New Roman" w:hAnsi="Times New Roman" w:cs="Times New Roman"/>
                <w:b/>
                <w:bCs/>
                <w:color w:val="000000"/>
                <w:sz w:val="16"/>
                <w:szCs w:val="16"/>
                <w:lang w:eastAsia="ru-RU"/>
              </w:rPr>
            </w:pPr>
            <w:r w:rsidRPr="00F273CA">
              <w:rPr>
                <w:rFonts w:ascii="Times New Roman" w:eastAsia="Times New Roman" w:hAnsi="Times New Roman" w:cs="Times New Roman"/>
                <w:b/>
                <w:bCs/>
                <w:color w:val="000000"/>
                <w:sz w:val="16"/>
                <w:szCs w:val="16"/>
                <w:lang w:eastAsia="ru-RU"/>
              </w:rPr>
              <w:t>Обоснование характеристик</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47CAB" w:rsidRDefault="00D47CAB" w:rsidP="00CC4613">
            <w:pPr>
              <w:spacing w:after="0" w:line="240" w:lineRule="auto"/>
              <w:jc w:val="center"/>
              <w:rPr>
                <w:rFonts w:ascii="Times New Roman" w:eastAsia="Times New Roman" w:hAnsi="Times New Roman" w:cs="Times New Roman"/>
                <w:b/>
                <w:bCs/>
                <w:color w:val="000000"/>
                <w:sz w:val="16"/>
                <w:szCs w:val="16"/>
                <w:lang w:eastAsia="ru-RU"/>
              </w:rPr>
            </w:pPr>
          </w:p>
          <w:p w:rsidR="00D47CAB" w:rsidRDefault="00D47CAB" w:rsidP="00CC4613">
            <w:pPr>
              <w:spacing w:after="0" w:line="240" w:lineRule="auto"/>
              <w:jc w:val="center"/>
              <w:rPr>
                <w:rFonts w:ascii="Times New Roman" w:eastAsia="Times New Roman" w:hAnsi="Times New Roman" w:cs="Times New Roman"/>
                <w:b/>
                <w:bCs/>
                <w:color w:val="000000"/>
                <w:sz w:val="16"/>
                <w:szCs w:val="16"/>
                <w:lang w:eastAsia="ru-RU"/>
              </w:rPr>
            </w:pPr>
          </w:p>
          <w:p w:rsidR="00D47CAB" w:rsidRPr="00C40833" w:rsidRDefault="00D47CAB" w:rsidP="00CC4613">
            <w:pPr>
              <w:spacing w:after="0" w:line="240" w:lineRule="auto"/>
              <w:jc w:val="center"/>
              <w:rPr>
                <w:rFonts w:ascii="Times New Roman" w:eastAsia="Times New Roman" w:hAnsi="Times New Roman" w:cs="Times New Roman"/>
                <w:b/>
                <w:bCs/>
                <w:color w:val="000000"/>
                <w:sz w:val="16"/>
                <w:szCs w:val="16"/>
                <w:lang w:eastAsia="ru-RU"/>
              </w:rPr>
            </w:pPr>
            <w:r w:rsidRPr="00C40833">
              <w:rPr>
                <w:rFonts w:ascii="Times New Roman" w:eastAsia="Times New Roman" w:hAnsi="Times New Roman" w:cs="Times New Roman"/>
                <w:b/>
                <w:bCs/>
                <w:color w:val="000000"/>
                <w:sz w:val="16"/>
                <w:szCs w:val="16"/>
                <w:lang w:eastAsia="ru-RU"/>
              </w:rPr>
              <w:t>Страна происхождения Товара</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D47CAB" w:rsidRPr="00C40833" w:rsidRDefault="00D47CAB" w:rsidP="00CC4613">
            <w:pPr>
              <w:spacing w:after="0" w:line="240" w:lineRule="auto"/>
              <w:jc w:val="center"/>
              <w:rPr>
                <w:rFonts w:ascii="Times New Roman" w:eastAsia="Times New Roman" w:hAnsi="Times New Roman" w:cs="Times New Roman"/>
                <w:b/>
                <w:bCs/>
                <w:color w:val="000000"/>
                <w:sz w:val="16"/>
                <w:szCs w:val="16"/>
                <w:lang w:eastAsia="ru-RU"/>
              </w:rPr>
            </w:pPr>
            <w:r w:rsidRPr="00C40833">
              <w:rPr>
                <w:rFonts w:ascii="Times New Roman" w:eastAsia="Times New Roman" w:hAnsi="Times New Roman" w:cs="Times New Roman"/>
                <w:b/>
                <w:bCs/>
                <w:color w:val="000000"/>
                <w:sz w:val="16"/>
                <w:szCs w:val="16"/>
                <w:lang w:eastAsia="ru-RU"/>
              </w:rPr>
              <w:t>Ставка НДС%</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D47CAB" w:rsidRPr="00C40833" w:rsidRDefault="00D47CAB" w:rsidP="00CC4613">
            <w:pPr>
              <w:spacing w:after="0" w:line="240" w:lineRule="auto"/>
              <w:jc w:val="center"/>
              <w:rPr>
                <w:rFonts w:ascii="Times New Roman" w:eastAsia="Times New Roman" w:hAnsi="Times New Roman" w:cs="Times New Roman"/>
                <w:b/>
                <w:bCs/>
                <w:color w:val="000000"/>
                <w:sz w:val="16"/>
                <w:szCs w:val="16"/>
                <w:lang w:eastAsia="ru-RU"/>
              </w:rPr>
            </w:pPr>
            <w:r w:rsidRPr="00C40833">
              <w:rPr>
                <w:rFonts w:ascii="Times New Roman" w:eastAsia="Times New Roman" w:hAnsi="Times New Roman" w:cs="Times New Roman"/>
                <w:b/>
                <w:bCs/>
                <w:color w:val="000000"/>
                <w:sz w:val="16"/>
                <w:szCs w:val="16"/>
                <w:lang w:eastAsia="ru-RU"/>
              </w:rPr>
              <w:t>Цена за ед. без НДС</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D47CAB" w:rsidRPr="00C40833" w:rsidRDefault="00D47CAB" w:rsidP="00CC4613">
            <w:pPr>
              <w:spacing w:after="0" w:line="240" w:lineRule="auto"/>
              <w:jc w:val="center"/>
              <w:rPr>
                <w:rFonts w:ascii="Times New Roman" w:eastAsia="Times New Roman" w:hAnsi="Times New Roman" w:cs="Times New Roman"/>
                <w:b/>
                <w:bCs/>
                <w:color w:val="000000"/>
                <w:sz w:val="16"/>
                <w:szCs w:val="16"/>
                <w:lang w:eastAsia="ru-RU"/>
              </w:rPr>
            </w:pPr>
            <w:r w:rsidRPr="00C40833">
              <w:rPr>
                <w:rFonts w:ascii="Times New Roman" w:eastAsia="Times New Roman" w:hAnsi="Times New Roman" w:cs="Times New Roman"/>
                <w:b/>
                <w:bCs/>
                <w:color w:val="000000"/>
                <w:sz w:val="16"/>
                <w:szCs w:val="16"/>
                <w:lang w:eastAsia="ru-RU"/>
              </w:rPr>
              <w:t>Сумма без НДС</w:t>
            </w:r>
          </w:p>
        </w:tc>
      </w:tr>
      <w:tr w:rsidR="00D47CAB" w:rsidRPr="00C81431" w:rsidTr="00CC4613">
        <w:trPr>
          <w:trHeight w:val="402"/>
        </w:trPr>
        <w:tc>
          <w:tcPr>
            <w:tcW w:w="567" w:type="dxa"/>
            <w:vMerge w:val="restart"/>
            <w:tcBorders>
              <w:top w:val="single" w:sz="4" w:space="0" w:color="auto"/>
              <w:left w:val="single" w:sz="4" w:space="0" w:color="auto"/>
              <w:right w:val="single" w:sz="4" w:space="0" w:color="auto"/>
            </w:tcBorders>
          </w:tcPr>
          <w:p w:rsidR="00D47CAB" w:rsidRDefault="00D47CAB" w:rsidP="00CC4613">
            <w:pPr>
              <w:spacing w:after="0" w:line="240" w:lineRule="auto"/>
              <w:jc w:val="center"/>
              <w:rPr>
                <w:rFonts w:ascii="Times New Roman" w:eastAsia="Times New Roman" w:hAnsi="Times New Roman" w:cs="Times New Roman"/>
                <w:color w:val="000000"/>
                <w:sz w:val="16"/>
                <w:szCs w:val="16"/>
                <w:lang w:eastAsia="ru-RU"/>
              </w:rPr>
            </w:pPr>
          </w:p>
          <w:p w:rsidR="00D47CAB" w:rsidRDefault="00D47CAB" w:rsidP="00CC4613">
            <w:pPr>
              <w:spacing w:after="0" w:line="240" w:lineRule="auto"/>
              <w:jc w:val="center"/>
              <w:rPr>
                <w:rFonts w:ascii="Times New Roman" w:eastAsia="Times New Roman" w:hAnsi="Times New Roman" w:cs="Times New Roman"/>
                <w:color w:val="000000"/>
                <w:sz w:val="16"/>
                <w:szCs w:val="16"/>
                <w:lang w:eastAsia="ru-RU"/>
              </w:rPr>
            </w:pPr>
          </w:p>
          <w:p w:rsidR="00D47CAB" w:rsidRDefault="00D47CAB" w:rsidP="00CC4613">
            <w:pPr>
              <w:spacing w:after="0" w:line="240" w:lineRule="auto"/>
              <w:jc w:val="center"/>
              <w:rPr>
                <w:rFonts w:ascii="Times New Roman" w:eastAsia="Times New Roman" w:hAnsi="Times New Roman" w:cs="Times New Roman"/>
                <w:color w:val="000000"/>
                <w:sz w:val="16"/>
                <w:szCs w:val="16"/>
                <w:lang w:eastAsia="ru-RU"/>
              </w:rPr>
            </w:pPr>
          </w:p>
          <w:p w:rsidR="00D47CAB" w:rsidRDefault="00D47CAB" w:rsidP="00CC4613">
            <w:pPr>
              <w:spacing w:after="0" w:line="240" w:lineRule="auto"/>
              <w:jc w:val="center"/>
              <w:rPr>
                <w:rFonts w:ascii="Times New Roman" w:eastAsia="Times New Roman" w:hAnsi="Times New Roman" w:cs="Times New Roman"/>
                <w:color w:val="000000"/>
                <w:sz w:val="16"/>
                <w:szCs w:val="16"/>
                <w:lang w:eastAsia="ru-RU"/>
              </w:rPr>
            </w:pPr>
          </w:p>
          <w:p w:rsidR="00D47CAB" w:rsidRDefault="00D47CAB" w:rsidP="00CC4613">
            <w:pPr>
              <w:spacing w:after="0" w:line="240" w:lineRule="auto"/>
              <w:jc w:val="center"/>
              <w:rPr>
                <w:rFonts w:ascii="Times New Roman" w:eastAsia="Times New Roman" w:hAnsi="Times New Roman" w:cs="Times New Roman"/>
                <w:color w:val="000000"/>
                <w:sz w:val="16"/>
                <w:szCs w:val="16"/>
                <w:lang w:eastAsia="ru-RU"/>
              </w:rPr>
            </w:pPr>
          </w:p>
          <w:p w:rsidR="00D47CAB" w:rsidRDefault="00D47CAB" w:rsidP="00CC4613">
            <w:pPr>
              <w:spacing w:after="0" w:line="240" w:lineRule="auto"/>
              <w:jc w:val="center"/>
              <w:rPr>
                <w:rFonts w:ascii="Times New Roman" w:eastAsia="Times New Roman" w:hAnsi="Times New Roman" w:cs="Times New Roman"/>
                <w:color w:val="000000"/>
                <w:sz w:val="16"/>
                <w:szCs w:val="16"/>
                <w:lang w:eastAsia="ru-RU"/>
              </w:rPr>
            </w:pPr>
          </w:p>
          <w:p w:rsidR="00D47CAB" w:rsidRDefault="00D47CAB" w:rsidP="00CC4613">
            <w:pPr>
              <w:spacing w:after="0" w:line="240" w:lineRule="auto"/>
              <w:jc w:val="center"/>
              <w:rPr>
                <w:rFonts w:ascii="Times New Roman" w:eastAsia="Times New Roman" w:hAnsi="Times New Roman" w:cs="Times New Roman"/>
                <w:color w:val="000000"/>
                <w:sz w:val="16"/>
                <w:szCs w:val="16"/>
                <w:lang w:eastAsia="ru-RU"/>
              </w:rPr>
            </w:pPr>
          </w:p>
          <w:p w:rsidR="00D47CAB" w:rsidRDefault="00D47CAB" w:rsidP="00CC4613">
            <w:pPr>
              <w:spacing w:after="0" w:line="240" w:lineRule="auto"/>
              <w:jc w:val="center"/>
              <w:rPr>
                <w:rFonts w:ascii="Times New Roman" w:eastAsia="Times New Roman" w:hAnsi="Times New Roman" w:cs="Times New Roman"/>
                <w:color w:val="000000"/>
                <w:sz w:val="16"/>
                <w:szCs w:val="16"/>
                <w:lang w:eastAsia="ru-RU"/>
              </w:rPr>
            </w:pPr>
          </w:p>
          <w:p w:rsidR="00D47CAB" w:rsidRDefault="00D47CAB" w:rsidP="00CC4613">
            <w:pPr>
              <w:spacing w:after="0" w:line="240" w:lineRule="auto"/>
              <w:jc w:val="center"/>
              <w:rPr>
                <w:rFonts w:ascii="Times New Roman" w:eastAsia="Times New Roman" w:hAnsi="Times New Roman" w:cs="Times New Roman"/>
                <w:color w:val="000000"/>
                <w:sz w:val="16"/>
                <w:szCs w:val="16"/>
                <w:lang w:eastAsia="ru-RU"/>
              </w:rPr>
            </w:pPr>
          </w:p>
          <w:p w:rsidR="00D47CAB" w:rsidRDefault="00D47CAB" w:rsidP="00CC4613">
            <w:pPr>
              <w:spacing w:after="0" w:line="240" w:lineRule="auto"/>
              <w:jc w:val="center"/>
              <w:rPr>
                <w:rFonts w:ascii="Times New Roman" w:eastAsia="Times New Roman" w:hAnsi="Times New Roman" w:cs="Times New Roman"/>
                <w:color w:val="000000"/>
                <w:sz w:val="16"/>
                <w:szCs w:val="16"/>
                <w:lang w:eastAsia="ru-RU"/>
              </w:rPr>
            </w:pPr>
          </w:p>
          <w:p w:rsidR="00D47CAB" w:rsidRDefault="00D47CAB" w:rsidP="00CC4613">
            <w:pPr>
              <w:spacing w:after="0" w:line="240" w:lineRule="auto"/>
              <w:jc w:val="center"/>
              <w:rPr>
                <w:rFonts w:ascii="Times New Roman" w:eastAsia="Times New Roman" w:hAnsi="Times New Roman" w:cs="Times New Roman"/>
                <w:color w:val="000000"/>
                <w:sz w:val="16"/>
                <w:szCs w:val="16"/>
                <w:lang w:eastAsia="ru-RU"/>
              </w:rPr>
            </w:pPr>
          </w:p>
          <w:p w:rsidR="00D47CAB" w:rsidRDefault="00D47CAB" w:rsidP="00CC4613">
            <w:pPr>
              <w:spacing w:after="0" w:line="240" w:lineRule="auto"/>
              <w:jc w:val="center"/>
              <w:rPr>
                <w:rFonts w:ascii="Times New Roman" w:eastAsia="Times New Roman" w:hAnsi="Times New Roman" w:cs="Times New Roman"/>
                <w:color w:val="000000"/>
                <w:sz w:val="16"/>
                <w:szCs w:val="16"/>
                <w:lang w:eastAsia="ru-RU"/>
              </w:rPr>
            </w:pPr>
          </w:p>
          <w:p w:rsidR="00D47CAB" w:rsidRDefault="00D47CAB" w:rsidP="00CC4613">
            <w:pPr>
              <w:spacing w:after="0" w:line="240" w:lineRule="auto"/>
              <w:jc w:val="center"/>
              <w:rPr>
                <w:rFonts w:ascii="Times New Roman" w:eastAsia="Times New Roman" w:hAnsi="Times New Roman" w:cs="Times New Roman"/>
                <w:color w:val="000000"/>
                <w:sz w:val="16"/>
                <w:szCs w:val="16"/>
                <w:lang w:eastAsia="ru-RU"/>
              </w:rPr>
            </w:pPr>
          </w:p>
          <w:p w:rsidR="00D47CAB" w:rsidRDefault="00D47CAB" w:rsidP="00CC4613">
            <w:pPr>
              <w:spacing w:after="0" w:line="240" w:lineRule="auto"/>
              <w:jc w:val="center"/>
              <w:rPr>
                <w:rFonts w:ascii="Times New Roman" w:eastAsia="Times New Roman" w:hAnsi="Times New Roman" w:cs="Times New Roman"/>
                <w:color w:val="000000"/>
                <w:sz w:val="16"/>
                <w:szCs w:val="16"/>
                <w:lang w:eastAsia="ru-RU"/>
              </w:rPr>
            </w:pPr>
          </w:p>
          <w:p w:rsidR="00D47CAB" w:rsidRDefault="00D47CAB" w:rsidP="00CC4613">
            <w:pPr>
              <w:spacing w:after="0" w:line="240" w:lineRule="auto"/>
              <w:jc w:val="center"/>
              <w:rPr>
                <w:rFonts w:ascii="Times New Roman" w:eastAsia="Times New Roman" w:hAnsi="Times New Roman" w:cs="Times New Roman"/>
                <w:color w:val="000000"/>
                <w:sz w:val="16"/>
                <w:szCs w:val="16"/>
                <w:lang w:eastAsia="ru-RU"/>
              </w:rPr>
            </w:pPr>
          </w:p>
          <w:p w:rsidR="00D47CAB" w:rsidRDefault="00D47CAB" w:rsidP="00CC4613">
            <w:pPr>
              <w:spacing w:after="0" w:line="240" w:lineRule="auto"/>
              <w:jc w:val="center"/>
              <w:rPr>
                <w:rFonts w:ascii="Times New Roman" w:eastAsia="Times New Roman" w:hAnsi="Times New Roman" w:cs="Times New Roman"/>
                <w:color w:val="000000"/>
                <w:sz w:val="16"/>
                <w:szCs w:val="16"/>
                <w:lang w:eastAsia="ru-RU"/>
              </w:rPr>
            </w:pPr>
          </w:p>
          <w:p w:rsidR="00D47CAB" w:rsidRDefault="00D47CAB" w:rsidP="00CC4613">
            <w:pPr>
              <w:spacing w:after="0" w:line="240" w:lineRule="auto"/>
              <w:jc w:val="center"/>
              <w:rPr>
                <w:rFonts w:ascii="Times New Roman" w:eastAsia="Times New Roman" w:hAnsi="Times New Roman" w:cs="Times New Roman"/>
                <w:color w:val="000000"/>
                <w:sz w:val="16"/>
                <w:szCs w:val="16"/>
                <w:lang w:eastAsia="ru-RU"/>
              </w:rPr>
            </w:pPr>
          </w:p>
          <w:p w:rsidR="00D47CAB" w:rsidRDefault="00D47CAB" w:rsidP="00CC4613">
            <w:pPr>
              <w:spacing w:after="0" w:line="240" w:lineRule="auto"/>
              <w:jc w:val="center"/>
              <w:rPr>
                <w:rFonts w:ascii="Times New Roman" w:eastAsia="Times New Roman" w:hAnsi="Times New Roman" w:cs="Times New Roman"/>
                <w:color w:val="000000"/>
                <w:sz w:val="16"/>
                <w:szCs w:val="16"/>
                <w:lang w:eastAsia="ru-RU"/>
              </w:rPr>
            </w:pPr>
          </w:p>
          <w:p w:rsidR="00D47CAB" w:rsidRDefault="00D47CAB" w:rsidP="00CC4613">
            <w:pPr>
              <w:spacing w:after="0" w:line="240" w:lineRule="auto"/>
              <w:jc w:val="center"/>
              <w:rPr>
                <w:rFonts w:ascii="Times New Roman" w:eastAsia="Times New Roman" w:hAnsi="Times New Roman" w:cs="Times New Roman"/>
                <w:color w:val="000000"/>
                <w:sz w:val="16"/>
                <w:szCs w:val="16"/>
                <w:lang w:eastAsia="ru-RU"/>
              </w:rPr>
            </w:pPr>
          </w:p>
          <w:p w:rsidR="00D47CAB" w:rsidRDefault="00D47CAB" w:rsidP="00CC4613">
            <w:pPr>
              <w:spacing w:after="0" w:line="240" w:lineRule="auto"/>
              <w:jc w:val="center"/>
              <w:rPr>
                <w:rFonts w:ascii="Times New Roman" w:eastAsia="Times New Roman" w:hAnsi="Times New Roman" w:cs="Times New Roman"/>
                <w:color w:val="000000"/>
                <w:sz w:val="16"/>
                <w:szCs w:val="16"/>
                <w:lang w:eastAsia="ru-RU"/>
              </w:rPr>
            </w:pPr>
          </w:p>
          <w:p w:rsidR="00D47CAB" w:rsidRPr="00A66A10" w:rsidRDefault="00D47CAB" w:rsidP="00CC4613">
            <w:pPr>
              <w:spacing w:after="0" w:line="240" w:lineRule="auto"/>
              <w:jc w:val="center"/>
              <w:rPr>
                <w:rFonts w:ascii="Times New Roman" w:hAnsi="Times New Roman" w:cs="Times New Roman"/>
                <w:sz w:val="16"/>
                <w:szCs w:val="16"/>
                <w:shd w:val="clear" w:color="auto" w:fill="FFFFFF"/>
              </w:rPr>
            </w:pPr>
            <w:r>
              <w:rPr>
                <w:rFonts w:ascii="Times New Roman" w:eastAsia="Times New Roman" w:hAnsi="Times New Roman" w:cs="Times New Roman"/>
                <w:color w:val="000000"/>
                <w:sz w:val="16"/>
                <w:szCs w:val="16"/>
                <w:lang w:eastAsia="ru-RU"/>
              </w:rPr>
              <w:t>1</w:t>
            </w:r>
          </w:p>
        </w:tc>
        <w:tc>
          <w:tcPr>
            <w:tcW w:w="1560" w:type="dxa"/>
            <w:vMerge w:val="restart"/>
            <w:tcBorders>
              <w:top w:val="single" w:sz="4" w:space="0" w:color="auto"/>
              <w:left w:val="single" w:sz="4" w:space="0" w:color="auto"/>
              <w:right w:val="single" w:sz="4" w:space="0" w:color="auto"/>
            </w:tcBorders>
            <w:vAlign w:val="center"/>
          </w:tcPr>
          <w:p w:rsidR="00D47CAB" w:rsidRPr="00A66A10"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A66A10">
              <w:rPr>
                <w:rFonts w:ascii="Times New Roman" w:hAnsi="Times New Roman" w:cs="Times New Roman"/>
                <w:sz w:val="16"/>
                <w:szCs w:val="16"/>
                <w:shd w:val="clear" w:color="auto" w:fill="FFFFFF"/>
              </w:rPr>
              <w:t>Набор для биохимического получения и нанесения фибринового герметика, эндоскопический</w:t>
            </w:r>
          </w:p>
        </w:tc>
        <w:tc>
          <w:tcPr>
            <w:tcW w:w="1134" w:type="dxa"/>
            <w:vMerge w:val="restart"/>
            <w:tcBorders>
              <w:top w:val="single" w:sz="4" w:space="0" w:color="auto"/>
              <w:left w:val="single" w:sz="4" w:space="0" w:color="auto"/>
              <w:right w:val="single" w:sz="4" w:space="0" w:color="auto"/>
            </w:tcBorders>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1D0BFD">
              <w:rPr>
                <w:rFonts w:ascii="Times New Roman" w:eastAsia="Times New Roman" w:hAnsi="Times New Roman" w:cs="Times New Roman"/>
                <w:color w:val="000000"/>
                <w:sz w:val="16"/>
                <w:szCs w:val="16"/>
                <w:lang w:eastAsia="ru-RU"/>
              </w:rPr>
              <w:t>32.50.50.190-00000347</w:t>
            </w:r>
            <w:r>
              <w:rPr>
                <w:rFonts w:ascii="Times New Roman" w:eastAsia="Times New Roman" w:hAnsi="Times New Roman" w:cs="Times New Roman"/>
                <w:color w:val="000000"/>
                <w:sz w:val="16"/>
                <w:szCs w:val="16"/>
                <w:lang w:eastAsia="ru-RU"/>
              </w:rPr>
              <w:t>*</w:t>
            </w:r>
          </w:p>
        </w:tc>
        <w:tc>
          <w:tcPr>
            <w:tcW w:w="992" w:type="dxa"/>
            <w:vMerge w:val="restart"/>
            <w:tcBorders>
              <w:top w:val="single" w:sz="4" w:space="0" w:color="auto"/>
              <w:left w:val="single" w:sz="4" w:space="0" w:color="auto"/>
              <w:right w:val="single" w:sz="4" w:space="0" w:color="auto"/>
            </w:tcBorders>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штука</w:t>
            </w:r>
          </w:p>
        </w:tc>
        <w:tc>
          <w:tcPr>
            <w:tcW w:w="709" w:type="dxa"/>
            <w:vMerge w:val="restart"/>
            <w:tcBorders>
              <w:top w:val="single" w:sz="4" w:space="0" w:color="auto"/>
              <w:left w:val="single" w:sz="4" w:space="0" w:color="auto"/>
              <w:right w:val="single" w:sz="4" w:space="0" w:color="auto"/>
            </w:tcBorders>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13</w:t>
            </w:r>
          </w:p>
        </w:tc>
        <w:tc>
          <w:tcPr>
            <w:tcW w:w="1842" w:type="dxa"/>
            <w:tcBorders>
              <w:top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Подготовительный модуль (фибрин)</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 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штука</w:t>
            </w:r>
          </w:p>
        </w:tc>
        <w:tc>
          <w:tcPr>
            <w:tcW w:w="1842" w:type="dxa"/>
            <w:tcBorders>
              <w:top w:val="nil"/>
              <w:left w:val="nil"/>
              <w:bottom w:val="single" w:sz="4" w:space="0" w:color="auto"/>
              <w:right w:val="single" w:sz="4" w:space="0" w:color="auto"/>
            </w:tcBorders>
            <w:shd w:val="clear" w:color="auto" w:fill="auto"/>
            <w:vAlign w:val="bottom"/>
          </w:tcPr>
          <w:p w:rsidR="00D47CAB"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955AE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p>
        </w:tc>
        <w:tc>
          <w:tcPr>
            <w:tcW w:w="1985" w:type="dxa"/>
            <w:tcBorders>
              <w:top w:val="single" w:sz="4" w:space="0" w:color="auto"/>
              <w:bottom w:val="single" w:sz="4" w:space="0" w:color="auto"/>
            </w:tcBorders>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Обеспечивает безопасный забор крови у пациента и правильную обработку крови для получения фибрина</w:t>
            </w:r>
          </w:p>
        </w:tc>
        <w:tc>
          <w:tcPr>
            <w:tcW w:w="850" w:type="dxa"/>
            <w:vMerge w:val="restart"/>
            <w:tcBorders>
              <w:top w:val="single" w:sz="4" w:space="0" w:color="auto"/>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851" w:type="dxa"/>
            <w:vMerge w:val="restart"/>
            <w:tcBorders>
              <w:top w:val="single" w:sz="4" w:space="0" w:color="auto"/>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709" w:type="dxa"/>
            <w:vMerge w:val="restart"/>
            <w:tcBorders>
              <w:top w:val="single" w:sz="4" w:space="0" w:color="auto"/>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850" w:type="dxa"/>
            <w:vMerge w:val="restart"/>
            <w:tcBorders>
              <w:top w:val="single" w:sz="4" w:space="0" w:color="auto"/>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r>
      <w:tr w:rsidR="00D47CAB" w:rsidRPr="00C81431" w:rsidTr="00CC4613">
        <w:trPr>
          <w:trHeight w:val="402"/>
        </w:trPr>
        <w:tc>
          <w:tcPr>
            <w:tcW w:w="567" w:type="dxa"/>
            <w:vMerge/>
            <w:tcBorders>
              <w:left w:val="single" w:sz="4" w:space="0" w:color="auto"/>
              <w:right w:val="single" w:sz="4" w:space="0" w:color="auto"/>
            </w:tcBorders>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560"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134"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992"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709"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842" w:type="dxa"/>
            <w:tcBorders>
              <w:top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Тампон нестерильный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Не менее 2</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штука</w:t>
            </w:r>
          </w:p>
        </w:tc>
        <w:tc>
          <w:tcPr>
            <w:tcW w:w="1842" w:type="dxa"/>
            <w:tcBorders>
              <w:top w:val="nil"/>
              <w:left w:val="nil"/>
              <w:bottom w:val="single" w:sz="4" w:space="0" w:color="auto"/>
              <w:right w:val="single" w:sz="4" w:space="0" w:color="auto"/>
            </w:tcBorders>
            <w:shd w:val="clear" w:color="auto" w:fill="auto"/>
            <w:vAlign w:val="bottom"/>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955AE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1985" w:type="dxa"/>
            <w:tcBorders>
              <w:top w:val="single" w:sz="4" w:space="0" w:color="auto"/>
              <w:bottom w:val="single" w:sz="4" w:space="0" w:color="auto"/>
            </w:tcBorders>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Для очистки клапанов подготовительного модуля от остатков крови</w:t>
            </w:r>
          </w:p>
        </w:tc>
        <w:tc>
          <w:tcPr>
            <w:tcW w:w="850"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851"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709"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850"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r>
      <w:tr w:rsidR="00D47CAB" w:rsidRPr="00C81431" w:rsidTr="00CC4613">
        <w:trPr>
          <w:trHeight w:val="402"/>
        </w:trPr>
        <w:tc>
          <w:tcPr>
            <w:tcW w:w="567" w:type="dxa"/>
            <w:vMerge/>
            <w:tcBorders>
              <w:left w:val="single" w:sz="4" w:space="0" w:color="auto"/>
              <w:right w:val="single" w:sz="4" w:space="0" w:color="auto"/>
            </w:tcBorders>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560"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134"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992"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709"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842" w:type="dxa"/>
            <w:tcBorders>
              <w:top w:val="single" w:sz="4" w:space="0" w:color="auto"/>
              <w:bottom w:val="single" w:sz="4" w:space="0" w:color="auto"/>
              <w:right w:val="single" w:sz="4" w:space="0" w:color="auto"/>
            </w:tcBorders>
            <w:shd w:val="clear" w:color="auto" w:fill="auto"/>
            <w:vAlign w:val="center"/>
          </w:tcPr>
          <w:p w:rsidR="00D47CAB" w:rsidRDefault="00D47CAB" w:rsidP="00CC4613">
            <w:pPr>
              <w:contextualSpacing/>
              <w:jc w:val="center"/>
              <w:rPr>
                <w:rFonts w:ascii="Times New Roman" w:hAnsi="Times New Roman" w:cs="Times New Roman"/>
                <w:color w:val="000000"/>
                <w:sz w:val="16"/>
                <w:szCs w:val="16"/>
              </w:rPr>
            </w:pPr>
            <w:r w:rsidRPr="00DF072E">
              <w:rPr>
                <w:rFonts w:ascii="Times New Roman" w:hAnsi="Times New Roman" w:cs="Times New Roman"/>
                <w:color w:val="000000"/>
                <w:sz w:val="16"/>
                <w:szCs w:val="16"/>
              </w:rPr>
              <w:t>Шприц с буферным раствором</w:t>
            </w:r>
          </w:p>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 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штука</w:t>
            </w:r>
          </w:p>
        </w:tc>
        <w:tc>
          <w:tcPr>
            <w:tcW w:w="1842" w:type="dxa"/>
            <w:tcBorders>
              <w:top w:val="nil"/>
              <w:left w:val="nil"/>
              <w:bottom w:val="single" w:sz="4" w:space="0" w:color="auto"/>
              <w:right w:val="single" w:sz="4" w:space="0" w:color="auto"/>
            </w:tcBorders>
            <w:shd w:val="clear" w:color="auto" w:fill="auto"/>
            <w:vAlign w:val="bottom"/>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955AE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1985" w:type="dxa"/>
            <w:tcBorders>
              <w:top w:val="single" w:sz="4" w:space="0" w:color="auto"/>
            </w:tcBorders>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Необходим для хранения готового фибрина</w:t>
            </w:r>
          </w:p>
        </w:tc>
        <w:tc>
          <w:tcPr>
            <w:tcW w:w="850"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851"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709"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850"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r>
      <w:tr w:rsidR="00D47CAB" w:rsidRPr="00C81431" w:rsidTr="00CC4613">
        <w:trPr>
          <w:trHeight w:val="402"/>
        </w:trPr>
        <w:tc>
          <w:tcPr>
            <w:tcW w:w="567" w:type="dxa"/>
            <w:vMerge/>
            <w:tcBorders>
              <w:left w:val="single" w:sz="4" w:space="0" w:color="auto"/>
              <w:right w:val="single" w:sz="4" w:space="0" w:color="auto"/>
            </w:tcBorders>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560"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134"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992"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709"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842" w:type="dxa"/>
            <w:tcBorders>
              <w:top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Основа шприца с буферным раствором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Натрия ацетат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p>
        </w:tc>
        <w:tc>
          <w:tcPr>
            <w:tcW w:w="1842" w:type="dxa"/>
            <w:tcBorders>
              <w:top w:val="nil"/>
              <w:left w:val="nil"/>
              <w:bottom w:val="single" w:sz="4" w:space="0" w:color="auto"/>
              <w:right w:val="single" w:sz="4" w:space="0" w:color="auto"/>
            </w:tcBorders>
            <w:shd w:val="clear" w:color="auto" w:fill="auto"/>
            <w:vAlign w:val="bottom"/>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955AE8">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tc>
        <w:tc>
          <w:tcPr>
            <w:tcW w:w="1985" w:type="dxa"/>
            <w:tcBorders>
              <w:bottom w:val="single" w:sz="4" w:space="0" w:color="auto"/>
            </w:tcBorders>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Обеспечивает растворение и хранение Фибрина I</w:t>
            </w:r>
          </w:p>
        </w:tc>
        <w:tc>
          <w:tcPr>
            <w:tcW w:w="850"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851"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709"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850"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r>
      <w:tr w:rsidR="00D47CAB" w:rsidRPr="00C81431" w:rsidTr="00CC4613">
        <w:trPr>
          <w:trHeight w:val="402"/>
        </w:trPr>
        <w:tc>
          <w:tcPr>
            <w:tcW w:w="567" w:type="dxa"/>
            <w:vMerge/>
            <w:tcBorders>
              <w:left w:val="single" w:sz="4" w:space="0" w:color="auto"/>
              <w:right w:val="single" w:sz="4" w:space="0" w:color="auto"/>
            </w:tcBorders>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560"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134"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992"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709"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842" w:type="dxa"/>
            <w:tcBorders>
              <w:top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Значение pH буферного раствора в шприце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47CAB" w:rsidRPr="006617D6" w:rsidRDefault="00D47CAB" w:rsidP="00CC461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val="en-US" w:eastAsia="ru-RU"/>
              </w:rPr>
              <w:t>ph</w:t>
            </w:r>
          </w:p>
        </w:tc>
        <w:tc>
          <w:tcPr>
            <w:tcW w:w="1842" w:type="dxa"/>
            <w:tcBorders>
              <w:top w:val="nil"/>
              <w:left w:val="nil"/>
              <w:bottom w:val="single" w:sz="4" w:space="0" w:color="auto"/>
              <w:right w:val="single" w:sz="4" w:space="0" w:color="auto"/>
            </w:tcBorders>
            <w:shd w:val="clear" w:color="auto" w:fill="auto"/>
            <w:vAlign w:val="bottom"/>
          </w:tcPr>
          <w:p w:rsidR="00D47CAB"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955AE8">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p>
        </w:tc>
        <w:tc>
          <w:tcPr>
            <w:tcW w:w="1985" w:type="dxa"/>
            <w:tcBorders>
              <w:top w:val="single" w:sz="4" w:space="0" w:color="auto"/>
              <w:bottom w:val="single" w:sz="4" w:space="0" w:color="auto"/>
            </w:tcBorders>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Такой уровень рН необходим для сохранения свойств фибрина и правильной полимеризации при нанесении</w:t>
            </w:r>
          </w:p>
        </w:tc>
        <w:tc>
          <w:tcPr>
            <w:tcW w:w="850"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851"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709"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850"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r>
      <w:tr w:rsidR="00D47CAB" w:rsidRPr="00C81431" w:rsidTr="00CC4613">
        <w:trPr>
          <w:trHeight w:val="402"/>
        </w:trPr>
        <w:tc>
          <w:tcPr>
            <w:tcW w:w="567" w:type="dxa"/>
            <w:vMerge/>
            <w:tcBorders>
              <w:left w:val="single" w:sz="4" w:space="0" w:color="auto"/>
              <w:right w:val="single" w:sz="4" w:space="0" w:color="auto"/>
            </w:tcBorders>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560"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134"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992"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709"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842" w:type="dxa"/>
            <w:tcBorders>
              <w:top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Обеззараживающий тампон</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Не менее 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штука</w:t>
            </w:r>
          </w:p>
        </w:tc>
        <w:tc>
          <w:tcPr>
            <w:tcW w:w="1842" w:type="dxa"/>
            <w:tcBorders>
              <w:top w:val="single" w:sz="4" w:space="0" w:color="auto"/>
              <w:bottom w:val="single" w:sz="4" w:space="0" w:color="auto"/>
              <w:right w:val="single" w:sz="4" w:space="0" w:color="auto"/>
            </w:tcBorders>
            <w:shd w:val="clear" w:color="auto" w:fill="auto"/>
            <w:vAlign w:val="center"/>
          </w:tcPr>
          <w:p w:rsidR="00D47CAB" w:rsidRPr="00FE5FD5"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955AE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1985" w:type="dxa"/>
            <w:tcBorders>
              <w:top w:val="single" w:sz="4" w:space="0" w:color="auto"/>
              <w:bottom w:val="single" w:sz="4" w:space="0" w:color="auto"/>
            </w:tcBorders>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Для очистки кожи пациента в месте забора крови</w:t>
            </w:r>
          </w:p>
        </w:tc>
        <w:tc>
          <w:tcPr>
            <w:tcW w:w="850"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851"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709"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850"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r>
      <w:tr w:rsidR="00D47CAB" w:rsidRPr="00C81431" w:rsidTr="00CC4613">
        <w:trPr>
          <w:trHeight w:val="402"/>
        </w:trPr>
        <w:tc>
          <w:tcPr>
            <w:tcW w:w="567" w:type="dxa"/>
            <w:vMerge/>
            <w:tcBorders>
              <w:left w:val="single" w:sz="4" w:space="0" w:color="auto"/>
              <w:right w:val="single" w:sz="4" w:space="0" w:color="auto"/>
            </w:tcBorders>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560"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134"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992"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709"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842" w:type="dxa"/>
            <w:tcBorders>
              <w:top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Съёмные наклейки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Не менее 4</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штука</w:t>
            </w:r>
          </w:p>
        </w:tc>
        <w:tc>
          <w:tcPr>
            <w:tcW w:w="1842" w:type="dxa"/>
            <w:tcBorders>
              <w:top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955AE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1985" w:type="dxa"/>
            <w:tcBorders>
              <w:top w:val="single" w:sz="4" w:space="0" w:color="auto"/>
              <w:bottom w:val="single" w:sz="4" w:space="0" w:color="auto"/>
            </w:tcBorders>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Для документирования в журнале пациентов</w:t>
            </w:r>
          </w:p>
        </w:tc>
        <w:tc>
          <w:tcPr>
            <w:tcW w:w="850"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851"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709"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850"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r>
      <w:tr w:rsidR="00D47CAB" w:rsidRPr="00C81431" w:rsidTr="00CC4613">
        <w:trPr>
          <w:trHeight w:val="402"/>
        </w:trPr>
        <w:tc>
          <w:tcPr>
            <w:tcW w:w="567" w:type="dxa"/>
            <w:vMerge/>
            <w:tcBorders>
              <w:left w:val="single" w:sz="4" w:space="0" w:color="auto"/>
              <w:right w:val="single" w:sz="4" w:space="0" w:color="auto"/>
            </w:tcBorders>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560"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134"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992"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709"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842" w:type="dxa"/>
            <w:tcBorders>
              <w:top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rPr>
              <w:t>Эндоскопический катетер изогнутый</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 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штука</w:t>
            </w:r>
          </w:p>
        </w:tc>
        <w:tc>
          <w:tcPr>
            <w:tcW w:w="1842" w:type="dxa"/>
            <w:tcBorders>
              <w:top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955AE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1985" w:type="dxa"/>
            <w:tcBorders>
              <w:top w:val="single" w:sz="4" w:space="0" w:color="auto"/>
              <w:bottom w:val="single" w:sz="4" w:space="0" w:color="auto"/>
            </w:tcBorders>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Обеспечивает совместную порционную подачу фибринового клея</w:t>
            </w:r>
          </w:p>
        </w:tc>
        <w:tc>
          <w:tcPr>
            <w:tcW w:w="850"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851"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709"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850"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r>
      <w:tr w:rsidR="00D47CAB" w:rsidRPr="00C81431" w:rsidTr="00CC4613">
        <w:trPr>
          <w:trHeight w:val="402"/>
        </w:trPr>
        <w:tc>
          <w:tcPr>
            <w:tcW w:w="567" w:type="dxa"/>
            <w:vMerge/>
            <w:tcBorders>
              <w:left w:val="single" w:sz="4" w:space="0" w:color="auto"/>
              <w:right w:val="single" w:sz="4" w:space="0" w:color="auto"/>
            </w:tcBorders>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560"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134"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992"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709"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842" w:type="dxa"/>
            <w:tcBorders>
              <w:top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Лакмусовая бумага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Не менее 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штука</w:t>
            </w:r>
          </w:p>
        </w:tc>
        <w:tc>
          <w:tcPr>
            <w:tcW w:w="1842" w:type="dxa"/>
            <w:tcBorders>
              <w:top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955AE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1985" w:type="dxa"/>
            <w:tcBorders>
              <w:top w:val="single" w:sz="4" w:space="0" w:color="auto"/>
              <w:bottom w:val="single" w:sz="4" w:space="0" w:color="auto"/>
            </w:tcBorders>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Кислотно-основной индикатор, предназначенный для контроля надлежащего смешивания раствора фибринового клея</w:t>
            </w:r>
          </w:p>
        </w:tc>
        <w:tc>
          <w:tcPr>
            <w:tcW w:w="850"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851"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709"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850" w:type="dxa"/>
            <w:vMerge/>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r>
      <w:tr w:rsidR="00D47CAB" w:rsidRPr="00C81431" w:rsidTr="00CC4613">
        <w:trPr>
          <w:trHeight w:val="402"/>
        </w:trPr>
        <w:tc>
          <w:tcPr>
            <w:tcW w:w="567" w:type="dxa"/>
            <w:tcBorders>
              <w:left w:val="single" w:sz="4" w:space="0" w:color="auto"/>
              <w:right w:val="single" w:sz="4" w:space="0" w:color="auto"/>
            </w:tcBorders>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560"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134"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992"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709"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842" w:type="dxa"/>
            <w:tcBorders>
              <w:top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Флакон с буферным раствором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 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штука</w:t>
            </w:r>
          </w:p>
        </w:tc>
        <w:tc>
          <w:tcPr>
            <w:tcW w:w="1842" w:type="dxa"/>
            <w:tcBorders>
              <w:top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955AE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1985" w:type="dxa"/>
            <w:tcBorders>
              <w:top w:val="single" w:sz="4" w:space="0" w:color="auto"/>
              <w:bottom w:val="single" w:sz="4" w:space="0" w:color="auto"/>
            </w:tcBorders>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Обеспечивает хранение буферного раствора для полимеризации фибрина</w:t>
            </w:r>
          </w:p>
        </w:tc>
        <w:tc>
          <w:tcPr>
            <w:tcW w:w="850"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851"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709"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850"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r>
      <w:tr w:rsidR="00D47CAB" w:rsidRPr="00C81431" w:rsidTr="00CC4613">
        <w:trPr>
          <w:trHeight w:val="402"/>
        </w:trPr>
        <w:tc>
          <w:tcPr>
            <w:tcW w:w="567" w:type="dxa"/>
            <w:tcBorders>
              <w:left w:val="single" w:sz="4" w:space="0" w:color="auto"/>
              <w:right w:val="single" w:sz="4" w:space="0" w:color="auto"/>
            </w:tcBorders>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560"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134"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992"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709"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842" w:type="dxa"/>
            <w:tcBorders>
              <w:top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Объём флакона с буферным раствором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Не менее 2,1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мл</w:t>
            </w:r>
          </w:p>
        </w:tc>
        <w:tc>
          <w:tcPr>
            <w:tcW w:w="1842" w:type="dxa"/>
            <w:tcBorders>
              <w:top w:val="nil"/>
              <w:left w:val="nil"/>
              <w:bottom w:val="single" w:sz="4" w:space="0" w:color="auto"/>
              <w:right w:val="single" w:sz="4" w:space="0" w:color="auto"/>
            </w:tcBorders>
            <w:shd w:val="clear" w:color="auto" w:fill="auto"/>
            <w:vAlign w:val="bottom"/>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955AE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1985" w:type="dxa"/>
            <w:tcBorders>
              <w:top w:val="single" w:sz="4" w:space="0" w:color="auto"/>
              <w:bottom w:val="single" w:sz="4" w:space="0" w:color="auto"/>
            </w:tcBorders>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Данный объём необходим для соблюдения правильной дозировки при нанесении фибрина</w:t>
            </w:r>
          </w:p>
        </w:tc>
        <w:tc>
          <w:tcPr>
            <w:tcW w:w="850"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851"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709"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850"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r>
      <w:tr w:rsidR="00D47CAB" w:rsidRPr="00C81431" w:rsidTr="00CC4613">
        <w:trPr>
          <w:trHeight w:val="402"/>
        </w:trPr>
        <w:tc>
          <w:tcPr>
            <w:tcW w:w="567" w:type="dxa"/>
            <w:tcBorders>
              <w:left w:val="single" w:sz="4" w:space="0" w:color="auto"/>
              <w:right w:val="single" w:sz="4" w:space="0" w:color="auto"/>
            </w:tcBorders>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560"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134"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992"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709"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842" w:type="dxa"/>
            <w:tcBorders>
              <w:top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Основа флакона с буферным раствором</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Натрия бикарбонат</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p>
        </w:tc>
        <w:tc>
          <w:tcPr>
            <w:tcW w:w="1842" w:type="dxa"/>
            <w:tcBorders>
              <w:top w:val="nil"/>
              <w:left w:val="nil"/>
              <w:bottom w:val="single" w:sz="4" w:space="0" w:color="auto"/>
              <w:right w:val="single" w:sz="4" w:space="0" w:color="auto"/>
            </w:tcBorders>
            <w:shd w:val="clear" w:color="auto" w:fill="auto"/>
            <w:vAlign w:val="bottom"/>
          </w:tcPr>
          <w:p w:rsidR="00D47CAB"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955AE8">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p>
        </w:tc>
        <w:tc>
          <w:tcPr>
            <w:tcW w:w="1985" w:type="dxa"/>
            <w:tcBorders>
              <w:top w:val="single" w:sz="4" w:space="0" w:color="auto"/>
              <w:bottom w:val="single" w:sz="4" w:space="0" w:color="auto"/>
            </w:tcBorders>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Обеспечивает быструю и эффективную полимеризацию фибринового герметика в тканях пациента</w:t>
            </w:r>
          </w:p>
        </w:tc>
        <w:tc>
          <w:tcPr>
            <w:tcW w:w="850"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851"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709"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850"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r>
      <w:tr w:rsidR="00D47CAB" w:rsidRPr="00C81431" w:rsidTr="00CC4613">
        <w:trPr>
          <w:trHeight w:val="402"/>
        </w:trPr>
        <w:tc>
          <w:tcPr>
            <w:tcW w:w="567" w:type="dxa"/>
            <w:tcBorders>
              <w:left w:val="single" w:sz="4" w:space="0" w:color="auto"/>
              <w:right w:val="single" w:sz="4" w:space="0" w:color="auto"/>
            </w:tcBorders>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560"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134"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992"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709"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842" w:type="dxa"/>
            <w:tcBorders>
              <w:top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Значение pH буферного раствора во флаконе</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10</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47CAB" w:rsidRPr="00AB25CD" w:rsidRDefault="00D47CAB" w:rsidP="00CC4613">
            <w:pPr>
              <w:spacing w:after="0" w:line="240" w:lineRule="auto"/>
              <w:jc w:val="center"/>
              <w:rPr>
                <w:rFonts w:ascii="Times New Roman" w:eastAsia="Times New Roman" w:hAnsi="Times New Roman" w:cs="Times New Roman"/>
                <w:color w:val="000000"/>
                <w:sz w:val="16"/>
                <w:szCs w:val="16"/>
                <w:lang w:val="en-US" w:eastAsia="ru-RU"/>
              </w:rPr>
            </w:pPr>
            <w:r>
              <w:rPr>
                <w:rFonts w:ascii="Times New Roman" w:eastAsia="Times New Roman" w:hAnsi="Times New Roman" w:cs="Times New Roman"/>
                <w:color w:val="000000"/>
                <w:sz w:val="16"/>
                <w:szCs w:val="16"/>
                <w:lang w:val="en-US" w:eastAsia="ru-RU"/>
              </w:rPr>
              <w:t>ph</w:t>
            </w:r>
          </w:p>
        </w:tc>
        <w:tc>
          <w:tcPr>
            <w:tcW w:w="1842" w:type="dxa"/>
            <w:tcBorders>
              <w:top w:val="nil"/>
              <w:left w:val="nil"/>
              <w:bottom w:val="single" w:sz="4" w:space="0" w:color="auto"/>
              <w:right w:val="single" w:sz="4" w:space="0" w:color="auto"/>
            </w:tcBorders>
            <w:shd w:val="clear" w:color="auto" w:fill="auto"/>
            <w:vAlign w:val="bottom"/>
          </w:tcPr>
          <w:p w:rsidR="00D47CAB"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955AE8">
              <w:rPr>
                <w:rFonts w:ascii="Times New Roman" w:eastAsia="Times New Roman" w:hAnsi="Times New Roman" w:cs="Times New Roman"/>
                <w:color w:val="000000"/>
                <w:sz w:val="16"/>
                <w:szCs w:val="16"/>
                <w:lang w:eastAsia="ru-RU"/>
              </w:rPr>
              <w:t>Значение характеристики не может изменяться участником закупки</w:t>
            </w:r>
          </w:p>
          <w:p w:rsidR="00D47CAB" w:rsidRDefault="00D47CAB" w:rsidP="00CC4613">
            <w:pPr>
              <w:spacing w:after="0" w:line="240" w:lineRule="auto"/>
              <w:jc w:val="center"/>
              <w:rPr>
                <w:rFonts w:ascii="Times New Roman" w:eastAsia="Times New Roman" w:hAnsi="Times New Roman" w:cs="Times New Roman"/>
                <w:color w:val="000000"/>
                <w:sz w:val="16"/>
                <w:szCs w:val="16"/>
                <w:lang w:eastAsia="ru-RU"/>
              </w:rPr>
            </w:pPr>
          </w:p>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p>
        </w:tc>
        <w:tc>
          <w:tcPr>
            <w:tcW w:w="1985" w:type="dxa"/>
            <w:tcBorders>
              <w:top w:val="single" w:sz="4" w:space="0" w:color="auto"/>
              <w:bottom w:val="single" w:sz="4" w:space="0" w:color="auto"/>
            </w:tcBorders>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Данный уровень рН является необходимым условием для реакции нейтрализации кислотного раствора, в котором хранится Фибрин I, и правильной полимеризации в тканях</w:t>
            </w:r>
          </w:p>
        </w:tc>
        <w:tc>
          <w:tcPr>
            <w:tcW w:w="850"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851"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709"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850"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r>
      <w:tr w:rsidR="00D47CAB" w:rsidRPr="00C81431" w:rsidTr="00CC4613">
        <w:trPr>
          <w:trHeight w:val="402"/>
        </w:trPr>
        <w:tc>
          <w:tcPr>
            <w:tcW w:w="567" w:type="dxa"/>
            <w:tcBorders>
              <w:left w:val="single" w:sz="4" w:space="0" w:color="auto"/>
              <w:right w:val="single" w:sz="4" w:space="0" w:color="auto"/>
            </w:tcBorders>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560"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134"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992"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709"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842" w:type="dxa"/>
            <w:tcBorders>
              <w:top w:val="single" w:sz="4" w:space="0" w:color="auto"/>
              <w:bottom w:val="single" w:sz="4" w:space="0" w:color="auto"/>
              <w:right w:val="single" w:sz="4" w:space="0" w:color="auto"/>
            </w:tcBorders>
            <w:shd w:val="clear" w:color="auto" w:fill="auto"/>
            <w:vAlign w:val="center"/>
          </w:tcPr>
          <w:p w:rsidR="00D47CAB" w:rsidRPr="00AB25CD" w:rsidRDefault="00D47CAB" w:rsidP="00CC4613">
            <w:pPr>
              <w:spacing w:after="0" w:line="240" w:lineRule="auto"/>
              <w:jc w:val="center"/>
              <w:rPr>
                <w:rFonts w:ascii="Times New Roman" w:eastAsia="Times New Roman" w:hAnsi="Times New Roman" w:cs="Times New Roman"/>
                <w:color w:val="000000"/>
                <w:sz w:val="16"/>
                <w:szCs w:val="16"/>
                <w:lang w:val="en-US" w:eastAsia="ru-RU"/>
              </w:rPr>
            </w:pPr>
            <w:r w:rsidRPr="00DF072E">
              <w:rPr>
                <w:rFonts w:ascii="Times New Roman" w:hAnsi="Times New Roman" w:cs="Times New Roman"/>
                <w:color w:val="000000"/>
                <w:sz w:val="16"/>
                <w:szCs w:val="16"/>
              </w:rPr>
              <w:t>Игла пункционная 21G</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Не менее 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47CAB" w:rsidRPr="00AB25CD" w:rsidRDefault="00D47CAB" w:rsidP="00CC461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штука</w:t>
            </w:r>
          </w:p>
        </w:tc>
        <w:tc>
          <w:tcPr>
            <w:tcW w:w="1842" w:type="dxa"/>
            <w:tcBorders>
              <w:top w:val="nil"/>
              <w:left w:val="nil"/>
              <w:bottom w:val="single" w:sz="4" w:space="0" w:color="auto"/>
              <w:right w:val="single" w:sz="4" w:space="0" w:color="auto"/>
            </w:tcBorders>
            <w:shd w:val="clear" w:color="auto" w:fill="auto"/>
            <w:vAlign w:val="bottom"/>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955AE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tc>
        <w:tc>
          <w:tcPr>
            <w:tcW w:w="1985" w:type="dxa"/>
            <w:tcBorders>
              <w:top w:val="single" w:sz="4" w:space="0" w:color="auto"/>
              <w:bottom w:val="single" w:sz="4" w:space="0" w:color="auto"/>
            </w:tcBorders>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Необходима для забора буферного раствора рН10 из флакона</w:t>
            </w:r>
          </w:p>
        </w:tc>
        <w:tc>
          <w:tcPr>
            <w:tcW w:w="850"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851"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709"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850"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r>
      <w:tr w:rsidR="00D47CAB" w:rsidRPr="00C81431" w:rsidTr="00CC4613">
        <w:trPr>
          <w:trHeight w:val="402"/>
        </w:trPr>
        <w:tc>
          <w:tcPr>
            <w:tcW w:w="567" w:type="dxa"/>
            <w:tcBorders>
              <w:left w:val="single" w:sz="4" w:space="0" w:color="auto"/>
              <w:right w:val="single" w:sz="4" w:space="0" w:color="auto"/>
            </w:tcBorders>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560"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134"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992"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709"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1842" w:type="dxa"/>
            <w:tcBorders>
              <w:top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Шприц 1 мл</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 1</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Pr>
                <w:rFonts w:ascii="Times New Roman" w:eastAsia="Times New Roman" w:hAnsi="Times New Roman" w:cs="Times New Roman"/>
                <w:color w:val="000000"/>
                <w:sz w:val="16"/>
                <w:szCs w:val="16"/>
                <w:lang w:eastAsia="ru-RU"/>
              </w:rPr>
              <w:t>штука</w:t>
            </w:r>
          </w:p>
        </w:tc>
        <w:tc>
          <w:tcPr>
            <w:tcW w:w="1842" w:type="dxa"/>
            <w:tcBorders>
              <w:top w:val="nil"/>
              <w:left w:val="nil"/>
              <w:bottom w:val="single" w:sz="4" w:space="0" w:color="auto"/>
              <w:right w:val="single" w:sz="4" w:space="0" w:color="auto"/>
            </w:tcBorders>
            <w:shd w:val="clear" w:color="auto" w:fill="auto"/>
            <w:vAlign w:val="bottom"/>
          </w:tcPr>
          <w:p w:rsidR="00D47CAB"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955AE8">
              <w:rPr>
                <w:rFonts w:ascii="Times New Roman" w:eastAsia="Times New Roman" w:hAnsi="Times New Roman" w:cs="Times New Roman"/>
                <w:color w:val="000000"/>
                <w:sz w:val="16"/>
                <w:szCs w:val="16"/>
                <w:lang w:eastAsia="ru-RU"/>
              </w:rPr>
              <w:t>Участник закупки указывает в заявке конкретное значение характеристики</w:t>
            </w:r>
          </w:p>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p>
        </w:tc>
        <w:tc>
          <w:tcPr>
            <w:tcW w:w="1985" w:type="dxa"/>
            <w:tcBorders>
              <w:top w:val="single" w:sz="4" w:space="0" w:color="auto"/>
              <w:bottom w:val="single" w:sz="4" w:space="0" w:color="auto"/>
            </w:tcBorders>
            <w:vAlign w:val="center"/>
          </w:tcPr>
          <w:p w:rsidR="00D47CAB" w:rsidRPr="00C81431" w:rsidRDefault="00D47CAB" w:rsidP="00CC4613">
            <w:pPr>
              <w:spacing w:after="0" w:line="240" w:lineRule="auto"/>
              <w:jc w:val="center"/>
              <w:rPr>
                <w:rFonts w:ascii="Times New Roman" w:eastAsia="Times New Roman" w:hAnsi="Times New Roman" w:cs="Times New Roman"/>
                <w:color w:val="000000"/>
                <w:sz w:val="16"/>
                <w:szCs w:val="16"/>
                <w:lang w:eastAsia="ru-RU"/>
              </w:rPr>
            </w:pPr>
            <w:r w:rsidRPr="00DF072E">
              <w:rPr>
                <w:rFonts w:ascii="Times New Roman" w:hAnsi="Times New Roman" w:cs="Times New Roman"/>
                <w:color w:val="000000"/>
                <w:sz w:val="16"/>
                <w:szCs w:val="16"/>
              </w:rPr>
              <w:t>Необходим для забора буферного раствора рН10 из флакона и подачи этого раствора в трубку аппликатора</w:t>
            </w:r>
          </w:p>
        </w:tc>
        <w:tc>
          <w:tcPr>
            <w:tcW w:w="850"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851"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709"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c>
          <w:tcPr>
            <w:tcW w:w="850" w:type="dxa"/>
            <w:tcBorders>
              <w:left w:val="single" w:sz="4" w:space="0" w:color="auto"/>
              <w:right w:val="single" w:sz="4" w:space="0" w:color="auto"/>
            </w:tcBorders>
            <w:vAlign w:val="center"/>
          </w:tcPr>
          <w:p w:rsidR="00D47CAB" w:rsidRPr="00C81431" w:rsidRDefault="00D47CAB" w:rsidP="00CC4613">
            <w:pPr>
              <w:spacing w:after="0" w:line="240" w:lineRule="auto"/>
              <w:rPr>
                <w:rFonts w:ascii="Times New Roman" w:eastAsia="Times New Roman" w:hAnsi="Times New Roman" w:cs="Times New Roman"/>
                <w:color w:val="000000"/>
                <w:sz w:val="16"/>
                <w:szCs w:val="16"/>
                <w:lang w:eastAsia="ru-RU"/>
              </w:rPr>
            </w:pPr>
          </w:p>
        </w:tc>
      </w:tr>
    </w:tbl>
    <w:p w:rsidR="00D47CAB" w:rsidRDefault="00D47CAB" w:rsidP="00D47CAB">
      <w:pPr>
        <w:rPr>
          <w:rFonts w:ascii="Times New Roman" w:hAnsi="Times New Roman" w:cs="Times New Roman"/>
          <w:b/>
          <w:i/>
        </w:rPr>
      </w:pPr>
    </w:p>
    <w:p w:rsidR="00D47CAB" w:rsidRPr="00C84F8F" w:rsidRDefault="00D47CAB" w:rsidP="00D47CAB">
      <w:pPr>
        <w:rPr>
          <w:rFonts w:ascii="Times New Roman" w:hAnsi="Times New Roman" w:cs="Times New Roman"/>
          <w:b/>
          <w:i/>
        </w:rPr>
      </w:pPr>
      <w:r w:rsidRPr="00C84F8F">
        <w:rPr>
          <w:rFonts w:ascii="Times New Roman" w:hAnsi="Times New Roman" w:cs="Times New Roman"/>
          <w:b/>
          <w:i/>
        </w:rPr>
        <w:t xml:space="preserve">*В связи с отсутствием сведений о характеристиках товара в описании позиции КТРУ, соответствующей закупаемому товару, Заказчиком определены технические и функциональные характеристики товара согласно потребностями в соответствии с положениями статьи 33 Федерального закона от 05.04.2013 № 44-ФЗ (письмо Минфина России от 24 января 2022 г. N 24-03-08/4090) </w:t>
      </w:r>
    </w:p>
    <w:p w:rsidR="00D47CAB" w:rsidRDefault="00D47CAB" w:rsidP="000820E3">
      <w:pPr>
        <w:rPr>
          <w:rFonts w:ascii="Times New Roman" w:hAnsi="Times New Roman" w:cs="Times New Roman"/>
          <w:b/>
          <w:sz w:val="28"/>
          <w:szCs w:val="28"/>
        </w:rPr>
      </w:pPr>
    </w:p>
    <w:sectPr w:rsidR="00D47CAB" w:rsidSect="00D47CAB">
      <w:headerReference w:type="first" r:id="rId18"/>
      <w:footerReference w:type="first" r:id="rId19"/>
      <w:pgSz w:w="16838" w:h="11906" w:orient="landscape"/>
      <w:pgMar w:top="1701" w:right="539"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2831" w:rsidRDefault="006D2831">
      <w:pPr>
        <w:spacing w:after="0" w:line="240" w:lineRule="auto"/>
      </w:pPr>
      <w:r>
        <w:separator/>
      </w:r>
    </w:p>
  </w:endnote>
  <w:endnote w:type="continuationSeparator" w:id="0">
    <w:p w:rsidR="006D2831" w:rsidRDefault="006D2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8D26BE" w:rsidRDefault="008D26BE">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8D26BE">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8D26BE">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8D26BE">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8D26BE">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D47CAB">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8D26BE">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D47CAB">
          <w:rPr>
            <w:noProof/>
          </w:rPr>
          <w:t>4</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2831" w:rsidRDefault="006D2831">
      <w:pPr>
        <w:spacing w:after="0" w:line="240" w:lineRule="auto"/>
      </w:pPr>
      <w:r>
        <w:separator/>
      </w:r>
    </w:p>
  </w:footnote>
  <w:footnote w:type="continuationSeparator" w:id="0">
    <w:p w:rsidR="006D2831" w:rsidRDefault="006D2831">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8D26BE" w:rsidRDefault="008D26BE">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8D26BE" w:rsidRDefault="008D26BE">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8D26BE" w:rsidRDefault="008D26BE">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2831"/>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26BE"/>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47CAB"/>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F16477-ED7E-4A32-92ED-D12288151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1413</Words>
  <Characters>8055</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2026-08-06T08:54:00Z</dcterms:created>
  <dcterms:modified xsi:type="dcterms:W3CDTF">2026-08-06T08:54:00Z</dcterms:modified>
</cp:coreProperties>
</file>